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color w:val="000000"/>
        </w:rPr>
      </w:pPr>
    </w:p>
    <w:tbl>
      <w:tblPr>
        <w:tblStyle w:val="22"/>
        <w:tblW w:w="10065" w:type="dxa"/>
        <w:tblInd w:w="2" w:type="dxa"/>
        <w:tblLayout w:type="fixed"/>
        <w:tblCellMar>
          <w:top w:w="0" w:type="dxa"/>
          <w:left w:w="0" w:type="dxa"/>
          <w:bottom w:w="0" w:type="dxa"/>
          <w:right w:w="0" w:type="dxa"/>
        </w:tblCellMar>
      </w:tblPr>
      <w:tblGrid>
        <w:gridCol w:w="709"/>
        <w:gridCol w:w="9356"/>
      </w:tblGrid>
      <w:tr>
        <w:tblPrEx>
          <w:tblLayout w:type="fixed"/>
          <w:tblCellMar>
            <w:top w:w="0" w:type="dxa"/>
            <w:left w:w="0" w:type="dxa"/>
            <w:bottom w:w="0" w:type="dxa"/>
            <w:right w:w="0" w:type="dxa"/>
          </w:tblCellMar>
        </w:tblPrEx>
        <w:trPr>
          <w:trHeight w:val="585" w:hRule="atLeast"/>
        </w:trPr>
        <w:tc>
          <w:tcPr>
            <w:tcW w:w="10065" w:type="dxa"/>
            <w:gridSpan w:val="2"/>
            <w:tcBorders>
              <w:top w:val="nil"/>
              <w:left w:val="nil"/>
              <w:bottom w:val="nil"/>
              <w:right w:val="nil"/>
            </w:tcBorders>
            <w:vAlign w:val="center"/>
          </w:tcPr>
          <w:p>
            <w:pPr>
              <w:pStyle w:val="55"/>
              <w:widowControl w:val="0"/>
              <w:spacing w:before="0" w:beforeAutospacing="0" w:after="0" w:afterAutospacing="0"/>
              <w:ind w:firstLine="964"/>
              <w:rPr>
                <w:rFonts w:hint="eastAsia" w:ascii="仿宋_GB2312" w:hAnsi="仿宋_GB2312" w:eastAsia="仿宋_GB2312" w:cs="仿宋_GB2312"/>
                <w:b/>
                <w:bCs/>
                <w:sz w:val="48"/>
                <w:szCs w:val="48"/>
              </w:rPr>
            </w:pP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48"/>
                <w:szCs w:val="48"/>
              </w:rPr>
            </w:pPr>
            <w:r>
              <w:rPr>
                <w:rFonts w:hint="eastAsia" w:ascii="仿宋_GB2312" w:hAnsi="仿宋_GB2312" w:eastAsia="仿宋_GB2312" w:cs="仿宋_GB2312"/>
                <w:b/>
                <w:bCs/>
                <w:spacing w:val="80"/>
                <w:sz w:val="48"/>
                <w:szCs w:val="48"/>
              </w:rPr>
              <w:t>江苏财会职业学院</w:t>
            </w: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48"/>
                <w:szCs w:val="48"/>
              </w:rPr>
            </w:pP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40"/>
                <w:szCs w:val="40"/>
                <w:lang w:eastAsia="zh-CN"/>
              </w:rPr>
            </w:pPr>
            <w:r>
              <w:rPr>
                <w:rFonts w:hint="eastAsia" w:ascii="仿宋_GB2312" w:hAnsi="仿宋_GB2312" w:eastAsia="仿宋_GB2312" w:cs="仿宋_GB2312"/>
                <w:b/>
                <w:bCs/>
                <w:spacing w:val="80"/>
                <w:sz w:val="40"/>
                <w:szCs w:val="40"/>
              </w:rPr>
              <w:t>宣传栏采购安装</w:t>
            </w:r>
            <w:r>
              <w:rPr>
                <w:rFonts w:hint="eastAsia" w:ascii="仿宋_GB2312" w:hAnsi="仿宋_GB2312" w:eastAsia="仿宋_GB2312" w:cs="仿宋_GB2312"/>
                <w:b/>
                <w:bCs/>
                <w:spacing w:val="80"/>
                <w:sz w:val="40"/>
                <w:szCs w:val="40"/>
                <w:lang w:eastAsia="zh-CN"/>
              </w:rPr>
              <w:t>项目</w:t>
            </w: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48"/>
                <w:szCs w:val="48"/>
                <w:lang w:eastAsia="zh-CN"/>
              </w:rPr>
            </w:pP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36"/>
                <w:szCs w:val="36"/>
                <w:lang w:eastAsia="zh-CN"/>
              </w:rPr>
            </w:pPr>
            <w:r>
              <w:rPr>
                <w:rFonts w:hint="eastAsia" w:ascii="仿宋_GB2312" w:hAnsi="仿宋_GB2312" w:eastAsia="仿宋_GB2312" w:cs="仿宋_GB2312"/>
                <w:b/>
                <w:bCs/>
                <w:spacing w:val="80"/>
                <w:sz w:val="22"/>
                <w:szCs w:val="22"/>
                <w:lang w:eastAsia="zh-CN"/>
              </w:rPr>
              <w:t>（项目编号：</w:t>
            </w:r>
            <w:r>
              <w:rPr>
                <w:rFonts w:hint="eastAsia" w:ascii="仿宋_GB2312" w:hAnsi="仿宋_GB2312" w:eastAsia="仿宋_GB2312" w:cs="仿宋_GB2312"/>
                <w:b/>
                <w:bCs/>
                <w:spacing w:val="80"/>
                <w:sz w:val="22"/>
                <w:szCs w:val="22"/>
                <w:lang w:val="en-US" w:eastAsia="zh-CN"/>
              </w:rPr>
              <w:t>JSCKXJ201607001</w:t>
            </w:r>
            <w:r>
              <w:rPr>
                <w:rFonts w:hint="eastAsia" w:ascii="仿宋_GB2312" w:hAnsi="仿宋_GB2312" w:eastAsia="仿宋_GB2312" w:cs="仿宋_GB2312"/>
                <w:b/>
                <w:bCs/>
                <w:spacing w:val="80"/>
                <w:sz w:val="22"/>
                <w:szCs w:val="22"/>
                <w:lang w:eastAsia="zh-CN"/>
              </w:rPr>
              <w:t>）</w:t>
            </w:r>
          </w:p>
          <w:p>
            <w:pPr>
              <w:pStyle w:val="55"/>
              <w:widowControl w:val="0"/>
              <w:spacing w:before="0" w:beforeAutospacing="0" w:after="0" w:afterAutospacing="0" w:line="480" w:lineRule="auto"/>
              <w:ind w:firstLine="426"/>
              <w:jc w:val="both"/>
              <w:rPr>
                <w:rFonts w:hint="eastAsia" w:ascii="仿宋_GB2312" w:hAnsi="仿宋_GB2312" w:eastAsia="仿宋_GB2312" w:cs="仿宋_GB2312"/>
                <w:b/>
                <w:bCs/>
                <w:spacing w:val="80"/>
                <w:sz w:val="48"/>
                <w:szCs w:val="48"/>
                <w:lang w:eastAsia="zh-CN"/>
              </w:rPr>
            </w:pPr>
          </w:p>
          <w:p>
            <w:pPr>
              <w:pStyle w:val="55"/>
              <w:widowControl w:val="0"/>
              <w:spacing w:before="0" w:beforeAutospacing="0" w:after="0" w:afterAutospacing="0" w:line="480" w:lineRule="auto"/>
              <w:ind w:firstLine="426"/>
              <w:jc w:val="both"/>
              <w:rPr>
                <w:rFonts w:hint="eastAsia" w:ascii="仿宋_GB2312" w:hAnsi="仿宋_GB2312" w:eastAsia="仿宋_GB2312" w:cs="仿宋_GB2312"/>
                <w:b/>
                <w:bCs/>
                <w:spacing w:val="80"/>
                <w:sz w:val="48"/>
                <w:szCs w:val="48"/>
                <w:lang w:eastAsia="zh-CN"/>
              </w:rPr>
            </w:pP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52"/>
                <w:szCs w:val="52"/>
                <w:lang w:eastAsia="zh-CN"/>
              </w:rPr>
            </w:pPr>
            <w:r>
              <w:rPr>
                <w:rFonts w:hint="eastAsia" w:ascii="仿宋_GB2312" w:hAnsi="仿宋_GB2312" w:eastAsia="仿宋_GB2312" w:cs="仿宋_GB2312"/>
                <w:b/>
                <w:bCs/>
                <w:spacing w:val="80"/>
                <w:sz w:val="52"/>
                <w:szCs w:val="52"/>
                <w:lang w:eastAsia="zh-CN"/>
              </w:rPr>
              <w:t>询</w:t>
            </w: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52"/>
                <w:szCs w:val="52"/>
                <w:lang w:eastAsia="zh-CN"/>
              </w:rPr>
            </w:pP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52"/>
                <w:szCs w:val="52"/>
                <w:lang w:eastAsia="zh-CN"/>
              </w:rPr>
            </w:pPr>
            <w:r>
              <w:rPr>
                <w:rFonts w:hint="eastAsia" w:ascii="仿宋_GB2312" w:hAnsi="仿宋_GB2312" w:eastAsia="仿宋_GB2312" w:cs="仿宋_GB2312"/>
                <w:b/>
                <w:bCs/>
                <w:spacing w:val="80"/>
                <w:sz w:val="52"/>
                <w:szCs w:val="52"/>
                <w:lang w:eastAsia="zh-CN"/>
              </w:rPr>
              <w:t>价</w:t>
            </w: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52"/>
                <w:szCs w:val="52"/>
                <w:lang w:eastAsia="zh-CN"/>
              </w:rPr>
            </w:pP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52"/>
                <w:szCs w:val="52"/>
              </w:rPr>
            </w:pPr>
            <w:r>
              <w:rPr>
                <w:rFonts w:hint="eastAsia" w:ascii="仿宋_GB2312" w:hAnsi="仿宋_GB2312" w:eastAsia="仿宋_GB2312" w:cs="仿宋_GB2312"/>
                <w:b/>
                <w:bCs/>
                <w:spacing w:val="80"/>
                <w:sz w:val="52"/>
                <w:szCs w:val="52"/>
              </w:rPr>
              <w:t>文</w:t>
            </w: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52"/>
                <w:szCs w:val="52"/>
              </w:rPr>
            </w:pPr>
          </w:p>
          <w:p>
            <w:pPr>
              <w:pStyle w:val="55"/>
              <w:widowControl w:val="0"/>
              <w:spacing w:before="0" w:beforeAutospacing="0" w:after="0" w:afterAutospacing="0" w:line="480" w:lineRule="auto"/>
              <w:ind w:firstLine="426"/>
              <w:jc w:val="center"/>
              <w:rPr>
                <w:rFonts w:hint="eastAsia" w:ascii="仿宋_GB2312" w:hAnsi="仿宋_GB2312" w:eastAsia="仿宋_GB2312" w:cs="仿宋_GB2312"/>
                <w:b/>
                <w:bCs/>
                <w:spacing w:val="80"/>
                <w:sz w:val="52"/>
                <w:szCs w:val="52"/>
              </w:rPr>
            </w:pPr>
            <w:r>
              <w:rPr>
                <w:rFonts w:hint="eastAsia" w:ascii="仿宋_GB2312" w:hAnsi="仿宋_GB2312" w:eastAsia="仿宋_GB2312" w:cs="仿宋_GB2312"/>
                <w:b/>
                <w:bCs/>
                <w:spacing w:val="80"/>
                <w:sz w:val="52"/>
                <w:szCs w:val="52"/>
              </w:rPr>
              <w:t>件</w:t>
            </w:r>
          </w:p>
          <w:p>
            <w:pPr>
              <w:pStyle w:val="55"/>
              <w:widowControl w:val="0"/>
              <w:spacing w:before="0" w:beforeAutospacing="0" w:after="0" w:afterAutospacing="0"/>
              <w:jc w:val="center"/>
              <w:rPr>
                <w:rFonts w:hint="eastAsia" w:ascii="仿宋_GB2312" w:hAnsi="仿宋_GB2312" w:eastAsia="仿宋_GB2312" w:cs="仿宋_GB2312"/>
                <w:kern w:val="2"/>
                <w:sz w:val="52"/>
                <w:szCs w:val="5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spacing w:line="480" w:lineRule="auto"/>
              <w:ind w:firstLine="31680" w:firstLineChars="25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江 苏 财 会 职 业 学 院</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制</w:t>
            </w:r>
          </w:p>
          <w:p>
            <w:pPr>
              <w:spacing w:line="500" w:lineRule="exact"/>
              <w:ind w:firstLine="31680" w:firstLineChars="25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2016年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日</w:t>
            </w:r>
          </w:p>
          <w:p>
            <w:pPr>
              <w:spacing w:line="500" w:lineRule="exact"/>
              <w:ind w:firstLine="31680" w:firstLineChars="250"/>
              <w:jc w:val="center"/>
              <w:rPr>
                <w:rFonts w:hint="eastAsia" w:ascii="仿宋_GB2312" w:hAnsi="仿宋_GB2312" w:eastAsia="仿宋_GB2312" w:cs="仿宋_GB2312"/>
                <w:sz w:val="32"/>
                <w:szCs w:val="32"/>
              </w:rPr>
            </w:pPr>
          </w:p>
          <w:p>
            <w:pPr>
              <w:numPr>
                <w:ilvl w:val="0"/>
                <w:numId w:val="1"/>
              </w:numPr>
              <w:jc w:val="center"/>
              <w:rPr>
                <w:rFonts w:hint="eastAsia" w:ascii="仿宋_GB2312" w:hAnsi="仿宋_GB2312" w:eastAsia="仿宋_GB2312" w:cs="仿宋_GB2312"/>
                <w:b/>
                <w:bCs/>
                <w:color w:val="000000"/>
                <w:sz w:val="30"/>
                <w:szCs w:val="30"/>
              </w:rPr>
            </w:pPr>
            <w:r>
              <w:rPr>
                <w:rFonts w:hint="eastAsia" w:ascii="仿宋_GB2312" w:hAnsi="仿宋_GB2312" w:eastAsia="仿宋_GB2312" w:cs="仿宋_GB2312"/>
                <w:b/>
                <w:bCs/>
                <w:color w:val="000000"/>
                <w:sz w:val="30"/>
                <w:szCs w:val="30"/>
              </w:rPr>
              <w:t>投标须知</w:t>
            </w:r>
          </w:p>
          <w:p>
            <w:pPr>
              <w:jc w:val="center"/>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前附表</w:t>
            </w:r>
          </w:p>
        </w:tc>
      </w:tr>
      <w:tr>
        <w:tblPrEx>
          <w:tblLayout w:type="fixed"/>
          <w:tblCellMar>
            <w:top w:w="0" w:type="dxa"/>
            <w:left w:w="0" w:type="dxa"/>
            <w:bottom w:w="0" w:type="dxa"/>
            <w:right w:w="0" w:type="dxa"/>
          </w:tblCellMar>
        </w:tblPrEx>
        <w:trPr>
          <w:trHeight w:val="813" w:hRule="exact"/>
        </w:trPr>
        <w:tc>
          <w:tcPr>
            <w:tcW w:w="70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项号</w:t>
            </w:r>
          </w:p>
        </w:tc>
        <w:tc>
          <w:tcPr>
            <w:tcW w:w="9356" w:type="dxa"/>
            <w:tcBorders>
              <w:top w:val="single" w:color="auto" w:sz="4" w:space="0"/>
              <w:left w:val="nil"/>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内   容   规   定</w:t>
            </w:r>
          </w:p>
        </w:tc>
      </w:tr>
      <w:tr>
        <w:tblPrEx>
          <w:tblLayout w:type="fixed"/>
          <w:tblCellMar>
            <w:top w:w="0" w:type="dxa"/>
            <w:left w:w="0" w:type="dxa"/>
            <w:bottom w:w="0" w:type="dxa"/>
            <w:right w:w="0" w:type="dxa"/>
          </w:tblCellMar>
        </w:tblPrEx>
        <w:trPr>
          <w:trHeight w:val="608" w:hRule="exact"/>
        </w:trPr>
        <w:tc>
          <w:tcPr>
            <w:tcW w:w="709" w:type="dxa"/>
            <w:vMerge w:val="restart"/>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工程名称：江苏财会职业学院宣传栏采购安装</w:t>
            </w:r>
          </w:p>
        </w:tc>
      </w:tr>
      <w:tr>
        <w:tblPrEx>
          <w:tblLayout w:type="fixed"/>
          <w:tblCellMar>
            <w:top w:w="0" w:type="dxa"/>
            <w:left w:w="0" w:type="dxa"/>
            <w:bottom w:w="0" w:type="dxa"/>
            <w:right w:w="0" w:type="dxa"/>
          </w:tblCellMar>
        </w:tblPrEx>
        <w:trPr>
          <w:trHeight w:val="711" w:hRule="exact"/>
        </w:trPr>
        <w:tc>
          <w:tcPr>
            <w:tcW w:w="709" w:type="dxa"/>
            <w:vMerge w:val="continue"/>
            <w:tcBorders>
              <w:top w:val="nil"/>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工程地点：连云港市新海新区春晖路8号</w:t>
            </w:r>
          </w:p>
        </w:tc>
      </w:tr>
      <w:tr>
        <w:tblPrEx>
          <w:tblLayout w:type="fixed"/>
          <w:tblCellMar>
            <w:top w:w="0" w:type="dxa"/>
            <w:left w:w="0" w:type="dxa"/>
            <w:bottom w:w="0" w:type="dxa"/>
            <w:right w:w="0" w:type="dxa"/>
          </w:tblCellMar>
        </w:tblPrEx>
        <w:trPr>
          <w:trHeight w:val="627" w:hRule="exact"/>
        </w:trPr>
        <w:tc>
          <w:tcPr>
            <w:tcW w:w="709" w:type="dxa"/>
            <w:vMerge w:val="continue"/>
            <w:tcBorders>
              <w:top w:val="nil"/>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合同估算价：</w:t>
            </w:r>
            <w:r>
              <w:rPr>
                <w:rFonts w:hint="eastAsia" w:ascii="仿宋_GB2312" w:hAnsi="仿宋_GB2312" w:eastAsia="仿宋_GB2312" w:cs="仿宋_GB2312"/>
                <w:color w:val="000000"/>
                <w:sz w:val="24"/>
                <w:szCs w:val="24"/>
                <w:lang w:eastAsia="zh-CN"/>
              </w:rPr>
              <w:t>人民币</w:t>
            </w:r>
            <w:r>
              <w:rPr>
                <w:rFonts w:hint="eastAsia" w:ascii="仿宋_GB2312" w:hAnsi="仿宋_GB2312" w:eastAsia="仿宋_GB2312" w:cs="仿宋_GB2312"/>
                <w:color w:val="000000"/>
                <w:sz w:val="24"/>
                <w:szCs w:val="24"/>
                <w:highlight w:val="yellow"/>
              </w:rPr>
              <w:t>36000元</w:t>
            </w:r>
          </w:p>
        </w:tc>
      </w:tr>
      <w:tr>
        <w:tblPrEx>
          <w:tblLayout w:type="fixed"/>
          <w:tblCellMar>
            <w:top w:w="0" w:type="dxa"/>
            <w:left w:w="0" w:type="dxa"/>
            <w:bottom w:w="0" w:type="dxa"/>
            <w:right w:w="0" w:type="dxa"/>
          </w:tblCellMar>
        </w:tblPrEx>
        <w:trPr>
          <w:trHeight w:val="565" w:hRule="exact"/>
        </w:trPr>
        <w:tc>
          <w:tcPr>
            <w:tcW w:w="709" w:type="dxa"/>
            <w:vMerge w:val="continue"/>
            <w:tcBorders>
              <w:top w:val="nil"/>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要求质量标准：合格</w:t>
            </w:r>
          </w:p>
        </w:tc>
      </w:tr>
      <w:tr>
        <w:tblPrEx>
          <w:tblLayout w:type="fixed"/>
          <w:tblCellMar>
            <w:top w:w="0" w:type="dxa"/>
            <w:left w:w="0" w:type="dxa"/>
            <w:bottom w:w="0" w:type="dxa"/>
            <w:right w:w="0" w:type="dxa"/>
          </w:tblCellMar>
        </w:tblPrEx>
        <w:trPr>
          <w:trHeight w:val="567" w:hRule="exact"/>
        </w:trPr>
        <w:tc>
          <w:tcPr>
            <w:tcW w:w="709" w:type="dxa"/>
            <w:vMerge w:val="continue"/>
            <w:tcBorders>
              <w:top w:val="nil"/>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合同交货期要求：合同签订后</w:t>
            </w:r>
            <w:r>
              <w:rPr>
                <w:rFonts w:hint="eastAsia" w:ascii="仿宋_GB2312" w:hAnsi="仿宋_GB2312" w:eastAsia="仿宋_GB2312" w:cs="仿宋_GB2312"/>
                <w:color w:val="000000"/>
                <w:sz w:val="24"/>
                <w:szCs w:val="24"/>
                <w:u w:val="single"/>
              </w:rPr>
              <w:t xml:space="preserve"> 20 </w:t>
            </w:r>
            <w:r>
              <w:rPr>
                <w:rFonts w:hint="eastAsia" w:ascii="仿宋_GB2312" w:hAnsi="仿宋_GB2312" w:eastAsia="仿宋_GB2312" w:cs="仿宋_GB2312"/>
                <w:color w:val="000000"/>
                <w:sz w:val="24"/>
                <w:szCs w:val="24"/>
              </w:rPr>
              <w:t>日历天内完成制作、运输及安装交付。</w:t>
            </w:r>
          </w:p>
        </w:tc>
      </w:tr>
      <w:tr>
        <w:tblPrEx>
          <w:tblLayout w:type="fixed"/>
          <w:tblCellMar>
            <w:top w:w="0" w:type="dxa"/>
            <w:left w:w="0" w:type="dxa"/>
            <w:bottom w:w="0" w:type="dxa"/>
            <w:right w:w="0" w:type="dxa"/>
          </w:tblCellMar>
        </w:tblPrEx>
        <w:trPr>
          <w:trHeight w:val="942" w:hRule="exact"/>
        </w:trPr>
        <w:tc>
          <w:tcPr>
            <w:tcW w:w="709" w:type="dxa"/>
            <w:vMerge w:val="continue"/>
            <w:tcBorders>
              <w:top w:val="nil"/>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招标范围：</w:t>
            </w:r>
            <w:r>
              <w:rPr>
                <w:rFonts w:hint="eastAsia" w:ascii="仿宋_GB2312" w:hAnsi="仿宋_GB2312" w:eastAsia="仿宋_GB2312" w:cs="仿宋_GB2312"/>
                <w:color w:val="000000"/>
                <w:kern w:val="0"/>
                <w:sz w:val="24"/>
                <w:szCs w:val="24"/>
              </w:rPr>
              <w:t>江苏财会职业学院宣传栏采购安装（含制造、运输、安装、二次深化设计及售后服务并办理交钥匙手续等）</w:t>
            </w:r>
          </w:p>
        </w:tc>
      </w:tr>
      <w:tr>
        <w:tblPrEx>
          <w:tblLayout w:type="fixed"/>
          <w:tblCellMar>
            <w:top w:w="0" w:type="dxa"/>
            <w:left w:w="0" w:type="dxa"/>
            <w:bottom w:w="0" w:type="dxa"/>
            <w:right w:w="0" w:type="dxa"/>
          </w:tblCellMar>
        </w:tblPrEx>
        <w:trPr>
          <w:trHeight w:val="530" w:hRule="exact"/>
        </w:trPr>
        <w:tc>
          <w:tcPr>
            <w:tcW w:w="70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资金来源：自筹，已落实</w:t>
            </w:r>
          </w:p>
        </w:tc>
      </w:tr>
      <w:tr>
        <w:tblPrEx>
          <w:tblLayout w:type="fixed"/>
          <w:tblCellMar>
            <w:top w:w="0" w:type="dxa"/>
            <w:left w:w="0" w:type="dxa"/>
            <w:bottom w:w="0" w:type="dxa"/>
            <w:right w:w="0" w:type="dxa"/>
          </w:tblCellMar>
        </w:tblPrEx>
        <w:trPr>
          <w:trHeight w:val="2457" w:hRule="exact"/>
        </w:trPr>
        <w:tc>
          <w:tcPr>
            <w:tcW w:w="70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投标截止时间前须提供以下资料备查，未按要求提供资料或资料提供不全，资格审查不合格，资格审查资料复印件必须装订在投标文件中：</w:t>
            </w:r>
          </w:p>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①投标代理人的授权委托书原件；</w:t>
            </w:r>
          </w:p>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②投标单位营业执照（副本）（原件）；</w:t>
            </w:r>
          </w:p>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③企业资质等级证书（原件）：综合性广告企业三级及以上资质（综合服务类；媒体服务类；设计制作类）；</w:t>
            </w:r>
          </w:p>
        </w:tc>
      </w:tr>
      <w:tr>
        <w:tblPrEx>
          <w:tblLayout w:type="fixed"/>
          <w:tblCellMar>
            <w:top w:w="0" w:type="dxa"/>
            <w:left w:w="0" w:type="dxa"/>
            <w:bottom w:w="0" w:type="dxa"/>
            <w:right w:w="0" w:type="dxa"/>
          </w:tblCellMar>
        </w:tblPrEx>
        <w:trPr>
          <w:trHeight w:val="614" w:hRule="exact"/>
        </w:trPr>
        <w:tc>
          <w:tcPr>
            <w:tcW w:w="70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招标控制价：本工程招标的控制价为36187.51</w:t>
            </w:r>
            <w:r>
              <w:rPr>
                <w:rFonts w:hint="eastAsia" w:ascii="仿宋_GB2312" w:hAnsi="仿宋_GB2312" w:eastAsia="仿宋_GB2312" w:cs="仿宋_GB2312"/>
                <w:color w:val="000000"/>
                <w:sz w:val="24"/>
                <w:szCs w:val="24"/>
                <w:highlight w:val="yellow"/>
              </w:rPr>
              <w:t>元</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超过控制价的作废标处理。</w:t>
            </w:r>
          </w:p>
        </w:tc>
      </w:tr>
      <w:tr>
        <w:tblPrEx>
          <w:tblLayout w:type="fixed"/>
          <w:tblCellMar>
            <w:top w:w="0" w:type="dxa"/>
            <w:left w:w="0" w:type="dxa"/>
            <w:bottom w:w="0" w:type="dxa"/>
            <w:right w:w="0" w:type="dxa"/>
          </w:tblCellMar>
        </w:tblPrEx>
        <w:trPr>
          <w:trHeight w:val="740" w:hRule="atLeast"/>
        </w:trPr>
        <w:tc>
          <w:tcPr>
            <w:tcW w:w="70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9356" w:type="dxa"/>
            <w:tcBorders>
              <w:top w:val="nil"/>
              <w:left w:val="nil"/>
              <w:bottom w:val="single" w:color="auto" w:sz="4" w:space="0"/>
              <w:right w:val="single" w:color="auto" w:sz="4" w:space="0"/>
            </w:tcBorders>
            <w:vAlign w:val="center"/>
          </w:tcPr>
          <w:p>
            <w:pPr>
              <w:spacing w:line="400" w:lineRule="exac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投标文件要求：正本1份，副本</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份。其正、副本都应装订成册，并在封面上正确标明“正本”、“副本”字样，投标文件中正、副本不一致时，以正本为准。投标人应将投标文件密封，并在封袋上写明招标人名称、工程名称及投标人名称；所有投标文件都必须加盖投标人公章。</w:t>
            </w:r>
          </w:p>
        </w:tc>
      </w:tr>
      <w:tr>
        <w:tblPrEx>
          <w:tblLayout w:type="fixed"/>
          <w:tblCellMar>
            <w:top w:w="0" w:type="dxa"/>
            <w:left w:w="0" w:type="dxa"/>
            <w:bottom w:w="0" w:type="dxa"/>
            <w:right w:w="0" w:type="dxa"/>
          </w:tblCellMar>
        </w:tblPrEx>
        <w:trPr>
          <w:cantSplit/>
          <w:trHeight w:val="641" w:hRule="exact"/>
        </w:trPr>
        <w:tc>
          <w:tcPr>
            <w:tcW w:w="709" w:type="dxa"/>
            <w:vMerge w:val="restart"/>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投标文件递交截止及开标时间：</w:t>
            </w:r>
            <w:r>
              <w:rPr>
                <w:rFonts w:hint="eastAsia" w:ascii="仿宋_GB2312" w:hAnsi="仿宋_GB2312" w:eastAsia="仿宋_GB2312" w:cs="仿宋_GB2312"/>
                <w:color w:val="000000"/>
                <w:sz w:val="24"/>
                <w:szCs w:val="24"/>
                <w:highlight w:val="yellow"/>
                <w:u w:val="single"/>
              </w:rPr>
              <w:t>2016年</w:t>
            </w:r>
            <w:r>
              <w:rPr>
                <w:rFonts w:hint="eastAsia" w:ascii="仿宋_GB2312" w:hAnsi="仿宋_GB2312" w:eastAsia="仿宋_GB2312" w:cs="仿宋_GB2312"/>
                <w:color w:val="000000"/>
                <w:sz w:val="24"/>
                <w:szCs w:val="24"/>
                <w:highlight w:val="yellow"/>
                <w:u w:val="single"/>
                <w:lang w:val="en-US" w:eastAsia="zh-CN"/>
              </w:rPr>
              <w:t>7</w:t>
            </w:r>
            <w:r>
              <w:rPr>
                <w:rFonts w:hint="eastAsia" w:ascii="仿宋_GB2312" w:hAnsi="仿宋_GB2312" w:eastAsia="仿宋_GB2312" w:cs="仿宋_GB2312"/>
                <w:color w:val="000000"/>
                <w:sz w:val="24"/>
                <w:szCs w:val="24"/>
                <w:highlight w:val="yellow"/>
                <w:u w:val="single"/>
              </w:rPr>
              <w:t>月</w:t>
            </w:r>
            <w:r>
              <w:rPr>
                <w:rFonts w:hint="eastAsia" w:ascii="仿宋_GB2312" w:hAnsi="仿宋_GB2312" w:eastAsia="仿宋_GB2312" w:cs="仿宋_GB2312"/>
                <w:color w:val="000000"/>
                <w:sz w:val="24"/>
                <w:szCs w:val="24"/>
                <w:highlight w:val="yellow"/>
                <w:u w:val="single"/>
                <w:lang w:val="en-US" w:eastAsia="zh-CN"/>
              </w:rPr>
              <w:t>8</w:t>
            </w:r>
            <w:r>
              <w:rPr>
                <w:rFonts w:hint="eastAsia" w:ascii="仿宋_GB2312" w:hAnsi="仿宋_GB2312" w:eastAsia="仿宋_GB2312" w:cs="仿宋_GB2312"/>
                <w:color w:val="000000"/>
                <w:sz w:val="24"/>
                <w:szCs w:val="24"/>
                <w:highlight w:val="yellow"/>
                <w:u w:val="single"/>
              </w:rPr>
              <w:t>日上午9：30</w:t>
            </w:r>
            <w:r>
              <w:rPr>
                <w:rFonts w:hint="eastAsia" w:ascii="仿宋_GB2312" w:hAnsi="仿宋_GB2312" w:eastAsia="仿宋_GB2312" w:cs="仿宋_GB2312"/>
                <w:color w:val="000000"/>
                <w:sz w:val="24"/>
                <w:szCs w:val="24"/>
                <w:u w:val="single"/>
              </w:rPr>
              <w:t xml:space="preserve"> </w:t>
            </w:r>
          </w:p>
        </w:tc>
      </w:tr>
      <w:tr>
        <w:tblPrEx>
          <w:tblLayout w:type="fixed"/>
          <w:tblCellMar>
            <w:top w:w="0" w:type="dxa"/>
            <w:left w:w="0" w:type="dxa"/>
            <w:bottom w:w="0" w:type="dxa"/>
            <w:right w:w="0" w:type="dxa"/>
          </w:tblCellMar>
        </w:tblPrEx>
        <w:trPr>
          <w:cantSplit/>
          <w:trHeight w:val="545" w:hRule="exact"/>
        </w:trPr>
        <w:tc>
          <w:tcPr>
            <w:tcW w:w="709" w:type="dxa"/>
            <w:vMerge w:val="continue"/>
            <w:tcBorders>
              <w:top w:val="nil"/>
              <w:left w:val="single" w:color="auto" w:sz="4" w:space="0"/>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地点：江苏财会职业学院行政楼304室（连云港市新海新区春晖路8号）</w:t>
            </w:r>
          </w:p>
        </w:tc>
      </w:tr>
      <w:tr>
        <w:tblPrEx>
          <w:tblLayout w:type="fixed"/>
          <w:tblCellMar>
            <w:top w:w="0" w:type="dxa"/>
            <w:left w:w="0" w:type="dxa"/>
            <w:bottom w:w="0" w:type="dxa"/>
            <w:right w:w="0" w:type="dxa"/>
          </w:tblCellMar>
        </w:tblPrEx>
        <w:trPr>
          <w:cantSplit/>
          <w:trHeight w:val="820" w:hRule="exact"/>
        </w:trPr>
        <w:tc>
          <w:tcPr>
            <w:tcW w:w="709" w:type="dxa"/>
            <w:tcBorders>
              <w:top w:val="nil"/>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w:t>
            </w:r>
          </w:p>
        </w:tc>
        <w:tc>
          <w:tcPr>
            <w:tcW w:w="9356" w:type="dxa"/>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评标办法：经评审的最低投标价法。</w:t>
            </w:r>
          </w:p>
        </w:tc>
      </w:tr>
    </w:tbl>
    <w:p>
      <w:pPr>
        <w:spacing w:line="520" w:lineRule="exact"/>
        <w:jc w:val="center"/>
        <w:rPr>
          <w:rFonts w:hint="eastAsia" w:ascii="仿宋_GB2312" w:hAnsi="仿宋_GB2312" w:eastAsia="仿宋_GB2312" w:cs="仿宋_GB2312"/>
          <w:b/>
          <w:bCs/>
          <w:color w:val="000000"/>
          <w:sz w:val="32"/>
          <w:szCs w:val="32"/>
        </w:rPr>
      </w:pPr>
    </w:p>
    <w:p>
      <w:pPr>
        <w:spacing w:line="520" w:lineRule="exact"/>
        <w:jc w:val="center"/>
        <w:rPr>
          <w:rFonts w:hint="eastAsia" w:ascii="仿宋_GB2312" w:hAnsi="仿宋_GB2312" w:eastAsia="仿宋_GB2312" w:cs="仿宋_GB2312"/>
          <w:b/>
          <w:bCs/>
          <w:color w:val="000000"/>
          <w:sz w:val="32"/>
          <w:szCs w:val="32"/>
        </w:rPr>
      </w:pPr>
    </w:p>
    <w:p>
      <w:pPr>
        <w:keepNext w:val="0"/>
        <w:keepLines w:val="0"/>
        <w:pageBreakBefore w:val="0"/>
        <w:widowControl w:val="0"/>
        <w:kinsoku/>
        <w:wordWrap/>
        <w:overflowPunct/>
        <w:topLinePunct w:val="0"/>
        <w:autoSpaceDE/>
        <w:autoSpaceDN/>
        <w:bidi w:val="0"/>
        <w:spacing w:line="450" w:lineRule="exact"/>
        <w:ind w:left="0" w:leftChars="0" w:right="0" w:rightChars="0"/>
        <w:jc w:val="center"/>
        <w:textAlignment w:val="auto"/>
        <w:outlineLvl w:val="9"/>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一、总    则</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（一）工程概况</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textAlignment w:val="auto"/>
        <w:outlineLvl w:val="9"/>
        <w:rPr>
          <w:rFonts w:hint="eastAsia" w:ascii="仿宋_GB2312" w:hAnsi="仿宋_GB2312" w:eastAsia="仿宋_GB2312" w:cs="仿宋_GB2312"/>
          <w:color w:val="000000"/>
          <w:kern w:val="0"/>
          <w:sz w:val="28"/>
          <w:szCs w:val="28"/>
          <w:u w:val="single"/>
        </w:rPr>
      </w:pPr>
      <w:r>
        <w:rPr>
          <w:rFonts w:hint="eastAsia" w:ascii="仿宋_GB2312" w:hAnsi="仿宋_GB2312" w:eastAsia="仿宋_GB2312" w:cs="仿宋_GB2312"/>
          <w:b/>
          <w:bCs/>
          <w:sz w:val="28"/>
          <w:szCs w:val="28"/>
        </w:rPr>
        <w:t xml:space="preserve">1. </w:t>
      </w:r>
      <w:r>
        <w:rPr>
          <w:rFonts w:hint="eastAsia" w:ascii="仿宋_GB2312" w:hAnsi="仿宋_GB2312" w:eastAsia="仿宋_GB2312" w:cs="仿宋_GB2312"/>
          <w:color w:val="000000"/>
          <w:sz w:val="28"/>
          <w:szCs w:val="28"/>
        </w:rPr>
        <w:t>招标范围：</w:t>
      </w:r>
      <w:r>
        <w:rPr>
          <w:rFonts w:hint="eastAsia" w:ascii="仿宋_GB2312" w:hAnsi="仿宋_GB2312" w:eastAsia="仿宋_GB2312" w:cs="仿宋_GB2312"/>
          <w:color w:val="000000"/>
          <w:kern w:val="0"/>
          <w:sz w:val="28"/>
          <w:szCs w:val="28"/>
          <w:u w:val="single"/>
        </w:rPr>
        <w:t>江苏财会职业学院宣传栏采购安装（含制造、运输、安装、二次深化设计及售后服务并办理交钥匙手续等）</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textAlignment w:val="auto"/>
        <w:outlineLvl w:val="9"/>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2. 资格审查合格条件：</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2.1企业具备：</w:t>
      </w:r>
      <w:r>
        <w:rPr>
          <w:rFonts w:hint="eastAsia" w:ascii="仿宋_GB2312" w:hAnsi="仿宋_GB2312" w:eastAsia="仿宋_GB2312" w:cs="仿宋_GB2312"/>
          <w:b/>
          <w:bCs/>
          <w:sz w:val="28"/>
          <w:szCs w:val="28"/>
        </w:rPr>
        <w:t xml:space="preserve">综合性广告企业三级及以上资质（综合服务类；媒体服务类；设计制作类）； </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2.2</w:t>
      </w:r>
      <w:r>
        <w:rPr>
          <w:rFonts w:hint="eastAsia" w:ascii="仿宋_GB2312" w:hAnsi="仿宋_GB2312" w:eastAsia="仿宋_GB2312" w:cs="仿宋_GB2312"/>
          <w:b/>
          <w:bCs/>
          <w:sz w:val="28"/>
          <w:szCs w:val="28"/>
        </w:rPr>
        <w:t>具有独立的法人资格、提供营业执照</w:t>
      </w:r>
      <w:r>
        <w:rPr>
          <w:rFonts w:hint="eastAsia" w:ascii="仿宋_GB2312" w:hAnsi="仿宋_GB2312" w:eastAsia="仿宋_GB2312" w:cs="仿宋_GB2312"/>
          <w:b/>
          <w:bCs/>
          <w:sz w:val="28"/>
          <w:szCs w:val="28"/>
          <w:lang w:eastAsia="zh-CN"/>
        </w:rPr>
        <w:t>或提供“三证合一”证照</w:t>
      </w:r>
      <w:r>
        <w:rPr>
          <w:rFonts w:hint="eastAsia" w:ascii="仿宋_GB2312" w:hAnsi="仿宋_GB2312" w:eastAsia="仿宋_GB2312" w:cs="仿宋_GB2312"/>
          <w:b/>
          <w:bCs/>
          <w:sz w:val="28"/>
          <w:szCs w:val="28"/>
        </w:rPr>
        <w:t>；</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2.3</w:t>
      </w:r>
      <w:r>
        <w:rPr>
          <w:rFonts w:hint="eastAsia" w:ascii="仿宋_GB2312" w:hAnsi="仿宋_GB2312" w:eastAsia="仿宋_GB2312" w:cs="仿宋_GB2312"/>
          <w:b/>
          <w:bCs/>
          <w:sz w:val="28"/>
          <w:szCs w:val="28"/>
        </w:rPr>
        <w:t>针对本项目的法人授权委托书；</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2.4具有独立订立合同的能力；</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2.5未处于被责令停业、投标资格被取消或者财产被接管、冻结和破产状态；</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2.6企业没有因骗取中标或者严重违约以及发生重大工程质量、安全生产事故等违法违规问题，被有关部门暂停投标资格并在暂停期内的；</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2.7其它投标方认为必要证明。</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本工程资格审查采用资格后审的方式，招标人将在开标后组织资格审查，资格审查时将根据以上原件审查。所有资格审查原件投标截止时间前一次性提交，投标截止时间后不再接收相关资料。</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 xml:space="preserve">3. </w:t>
      </w:r>
      <w:r>
        <w:rPr>
          <w:rFonts w:hint="eastAsia" w:ascii="仿宋_GB2312" w:hAnsi="仿宋_GB2312" w:eastAsia="仿宋_GB2312" w:cs="仿宋_GB2312"/>
          <w:color w:val="000000"/>
          <w:sz w:val="28"/>
          <w:szCs w:val="28"/>
        </w:rPr>
        <w:t>招标文件的约束力</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投标人一旦购买了招标文件并参加投标，即被认为接受了本招标文件中的所有条款和规定。</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1195"/>
        <w:textAlignment w:val="auto"/>
        <w:outlineLvl w:val="9"/>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二、投标报价</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（三）</w:t>
      </w:r>
      <w:r>
        <w:rPr>
          <w:rFonts w:hint="eastAsia" w:ascii="仿宋_GB2312" w:hAnsi="仿宋_GB2312" w:eastAsia="仿宋_GB2312" w:cs="仿宋_GB2312"/>
          <w:sz w:val="28"/>
          <w:szCs w:val="28"/>
        </w:rPr>
        <w:t>本项目设有招标控制价，超过招标控制价为无效标。投标报价应是招标文件（包括合同条款及招标人提供的技术资料）、设计图纸所确定的招标范围内的全部工作内容的价格体现，应涵盖招标人在招标文件中所要求的所有工作内容。包含了所供的全部货物、材料、包装物、运杂费、卸货费、运输保险费、保管费、安装费（含安装材料费）、检测费、技术服务费、质保期内耗材费、政策性规定的各项费用以及投标人确认为需要发生的其它费用等。</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150"/>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（四）投标报价方式：</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项目采用综合单价（全费用综合单价）报价方式，该综合单价是指在单一货物价格基础上，将货物、材料、包装物、装车、卸车（含二次搬运至招标人指定的卸货地点）、劳务（含上下力费）、运输、保管费、配合、安装费（含安装材料费）、保险、检测、技术服务、验收、培训、质保期服务、利润、税金、各类规定风险以及招标文件明示或暗示的所有费用合理分摊在单一货物中的价格体现。投标人应充分考虑合同实施期间供货和各类材料的市场风险及政策性调整发生的各类费用，计入综合单价及总报价，一旦中标，投标人的最终全费用综合单价投标报价即为合同包死价，除合同另有约定外，价格不予调整。</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center"/>
        <w:textAlignment w:val="auto"/>
        <w:outlineLvl w:val="9"/>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三、投标文件</w:t>
      </w:r>
    </w:p>
    <w:p>
      <w:pPr>
        <w:pStyle w:val="13"/>
        <w:keepNext w:val="0"/>
        <w:keepLines w:val="0"/>
        <w:pageBreakBefore w:val="0"/>
        <w:widowControl w:val="0"/>
        <w:kinsoku/>
        <w:wordWrap/>
        <w:overflowPunct/>
        <w:topLinePunct w:val="0"/>
        <w:autoSpaceDE/>
        <w:autoSpaceDN/>
        <w:bidi w:val="0"/>
        <w:spacing w:line="450" w:lineRule="exact"/>
        <w:ind w:left="0" w:leftChars="0" w:right="0" w:rightChars="0" w:firstLine="31680" w:firstLineChars="15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（五）招标投标文件组成。</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①投标函；</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②报价明细表；</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③法定代表人授权书原件和授权代表身份证复印件；</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④营业执照副本复印件（加盖公章）；</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⑤投标人基本情况表；</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⑥商务偏离表；</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⑦其他相关技术材料。</w:t>
      </w:r>
    </w:p>
    <w:p>
      <w:pPr>
        <w:keepNext w:val="0"/>
        <w:keepLines w:val="0"/>
        <w:pageBreakBefore w:val="0"/>
        <w:widowControl w:val="0"/>
        <w:kinsoku/>
        <w:wordWrap/>
        <w:overflowPunct/>
        <w:topLinePunct w:val="0"/>
        <w:autoSpaceDE/>
        <w:autoSpaceDN/>
        <w:bidi w:val="0"/>
        <w:spacing w:line="450" w:lineRule="exact"/>
        <w:ind w:left="0" w:leftChars="0" w:right="0" w:rightChars="0"/>
        <w:jc w:val="center"/>
        <w:textAlignment w:val="auto"/>
        <w:outlineLvl w:val="9"/>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四、评标、定标</w:t>
      </w:r>
    </w:p>
    <w:p>
      <w:pPr>
        <w:pStyle w:val="9"/>
        <w:keepNext w:val="0"/>
        <w:keepLines w:val="0"/>
        <w:pageBreakBefore w:val="0"/>
        <w:widowControl w:val="0"/>
        <w:kinsoku/>
        <w:wordWrap/>
        <w:overflowPunct/>
        <w:topLinePunct w:val="0"/>
        <w:autoSpaceDE/>
        <w:autoSpaceDN/>
        <w:bidi w:val="0"/>
        <w:adjustRightInd w:val="0"/>
        <w:snapToGrid w:val="0"/>
        <w:spacing w:line="450" w:lineRule="exact"/>
        <w:ind w:left="0" w:leftChars="0" w:right="0" w:rightChars="0" w:firstLine="560" w:firstLineChars="0"/>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（六）评标、定标工作由招标人组织进行。</w:t>
      </w:r>
    </w:p>
    <w:p>
      <w:pPr>
        <w:pStyle w:val="9"/>
        <w:keepNext w:val="0"/>
        <w:keepLines w:val="0"/>
        <w:pageBreakBefore w:val="0"/>
        <w:widowControl w:val="0"/>
        <w:kinsoku/>
        <w:wordWrap/>
        <w:overflowPunct/>
        <w:topLinePunct w:val="0"/>
        <w:autoSpaceDE/>
        <w:autoSpaceDN/>
        <w:bidi w:val="0"/>
        <w:adjustRightInd w:val="0"/>
        <w:snapToGrid w:val="0"/>
        <w:spacing w:line="450" w:lineRule="exact"/>
        <w:ind w:left="0" w:leftChars="0" w:right="0" w:rightChars="0" w:firstLine="560" w:firstLineChars="0"/>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（七）评标办法：本工程采用经评审的最低投标价法。</w:t>
      </w:r>
    </w:p>
    <w:p>
      <w:pPr>
        <w:pStyle w:val="9"/>
        <w:keepNext w:val="0"/>
        <w:keepLines w:val="0"/>
        <w:pageBreakBefore w:val="0"/>
        <w:widowControl w:val="0"/>
        <w:kinsoku/>
        <w:wordWrap/>
        <w:overflowPunct/>
        <w:topLinePunct w:val="0"/>
        <w:autoSpaceDE/>
        <w:autoSpaceDN/>
        <w:bidi w:val="0"/>
        <w:adjustRightInd w:val="0"/>
        <w:snapToGrid w:val="0"/>
        <w:spacing w:line="450" w:lineRule="exact"/>
        <w:ind w:left="0" w:leftChars="0" w:right="0" w:rightChars="0" w:firstLine="560" w:firstLineChars="0"/>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经评审的最低投标价法</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1、定义：投标人的投标文件能够满足招标文件的实质性要求，并且经评审的投标价格最低的有效投标人应当确定为中标人，但是投标价格低于成本的除外。</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2、本招标项目采用经评审的最低投标价法，评标委员会应当在有效投标文件中，按照评标价由低至高的次序向招标人推荐1至3名中标候选人，并标明排序。评标价相同及其它情形应以抽签方式确定排序。</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3、本工程设有招标控制价随招标文件同时发布，投标报价高于招标控制价的作应当作无效标处理予以否决。</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（八）定标：</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中标价的确定：</w:t>
      </w:r>
      <w:r>
        <w:rPr>
          <w:rFonts w:hint="eastAsia" w:ascii="仿宋_GB2312" w:hAnsi="仿宋_GB2312" w:eastAsia="仿宋_GB2312" w:cs="仿宋_GB2312"/>
          <w:sz w:val="28"/>
          <w:szCs w:val="28"/>
        </w:rPr>
        <w:t>所有有效投标报价中</w:t>
      </w:r>
      <w:r>
        <w:rPr>
          <w:rFonts w:hint="eastAsia" w:ascii="仿宋_GB2312" w:hAnsi="仿宋_GB2312" w:eastAsia="仿宋_GB2312" w:cs="仿宋_GB2312"/>
          <w:color w:val="000000"/>
          <w:sz w:val="28"/>
          <w:szCs w:val="28"/>
        </w:rPr>
        <w:t>的最低投标价。</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color w:val="000000"/>
          <w:sz w:val="28"/>
          <w:szCs w:val="28"/>
        </w:rPr>
        <w:t>中标人的确定：</w:t>
      </w:r>
      <w:r>
        <w:rPr>
          <w:rFonts w:hint="eastAsia" w:ascii="仿宋_GB2312" w:hAnsi="仿宋_GB2312" w:eastAsia="仿宋_GB2312" w:cs="仿宋_GB2312"/>
          <w:sz w:val="28"/>
          <w:szCs w:val="28"/>
        </w:rPr>
        <w:t>评标委员会应当在有效投标文件中，按照评标价由低至高的次序向招标人推荐1至3名中标候选人，并标明排序。评标价相同及其它情形应以抽签方式确定排序。</w:t>
      </w:r>
    </w:p>
    <w:p>
      <w:pPr>
        <w:keepNext w:val="0"/>
        <w:keepLines w:val="0"/>
        <w:pageBreakBefore w:val="0"/>
        <w:widowControl w:val="0"/>
        <w:kinsoku/>
        <w:wordWrap/>
        <w:overflowPunct/>
        <w:topLinePunct w:val="0"/>
        <w:autoSpaceDE/>
        <w:autoSpaceDN/>
        <w:bidi w:val="0"/>
        <w:spacing w:line="450" w:lineRule="exact"/>
        <w:ind w:left="0" w:leftChars="0" w:right="0" w:rightChars="0" w:firstLine="31680" w:firstLineChars="200"/>
        <w:jc w:val="left"/>
        <w:textAlignment w:val="auto"/>
        <w:outlineLvl w:val="9"/>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如果评标委员会发现投标人报价过高，招标人可以选择重新招标，也可以直接采用竞争性谈判方式要求投标人进行再次报价。</w:t>
      </w:r>
    </w:p>
    <w:p>
      <w:pPr>
        <w:keepNext w:val="0"/>
        <w:keepLines w:val="0"/>
        <w:pageBreakBefore w:val="0"/>
        <w:kinsoku/>
        <w:wordWrap/>
        <w:overflowPunct/>
        <w:topLinePunct w:val="0"/>
        <w:bidi w:val="0"/>
        <w:spacing w:line="240" w:lineRule="auto"/>
        <w:jc w:val="center"/>
        <w:textAlignment w:val="auto"/>
        <w:outlineLvl w:val="9"/>
        <w:rPr>
          <w:rFonts w:hint="eastAsia" w:ascii="仿宋_GB2312" w:hAnsi="仿宋_GB2312" w:eastAsia="仿宋_GB2312" w:cs="仿宋_GB2312"/>
          <w:b/>
          <w:bCs/>
          <w:color w:val="000000"/>
          <w:sz w:val="28"/>
          <w:szCs w:val="28"/>
        </w:rPr>
      </w:pPr>
    </w:p>
    <w:p>
      <w:pPr>
        <w:keepNext w:val="0"/>
        <w:keepLines w:val="0"/>
        <w:pageBreakBefore w:val="0"/>
        <w:kinsoku/>
        <w:wordWrap/>
        <w:overflowPunct/>
        <w:topLinePunct w:val="0"/>
        <w:bidi w:val="0"/>
        <w:snapToGrid/>
        <w:spacing w:line="560" w:lineRule="exact"/>
        <w:ind w:left="0" w:leftChars="0" w:right="0" w:rightChars="0"/>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bCs/>
          <w:color w:val="000000"/>
          <w:sz w:val="28"/>
          <w:szCs w:val="28"/>
        </w:rPr>
        <w:t>五   合同</w:t>
      </w:r>
    </w:p>
    <w:p>
      <w:pPr>
        <w:keepNext w:val="0"/>
        <w:keepLines w:val="0"/>
        <w:pageBreakBefore w:val="0"/>
        <w:widowControl/>
        <w:kinsoku/>
        <w:wordWrap/>
        <w:overflowPunct/>
        <w:topLinePunct w:val="0"/>
        <w:bidi w:val="0"/>
        <w:snapToGrid/>
        <w:spacing w:line="560" w:lineRule="exact"/>
        <w:ind w:left="0" w:leftChars="0" w:right="0" w:rightChars="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甲方：</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（招标单位）           </w:t>
      </w:r>
    </w:p>
    <w:p>
      <w:pPr>
        <w:keepNext w:val="0"/>
        <w:keepLines w:val="0"/>
        <w:pageBreakBefore w:val="0"/>
        <w:widowControl/>
        <w:kinsoku/>
        <w:wordWrap/>
        <w:overflowPunct/>
        <w:topLinePunct w:val="0"/>
        <w:bidi w:val="0"/>
        <w:snapToGrid/>
        <w:spacing w:line="560" w:lineRule="exact"/>
        <w:ind w:left="0" w:leftChars="0" w:right="0" w:rightChars="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乙方：</w:t>
      </w:r>
      <w:r>
        <w:rPr>
          <w:rFonts w:hint="eastAsia" w:ascii="仿宋_GB2312" w:hAnsi="仿宋_GB2312" w:eastAsia="仿宋_GB2312" w:cs="仿宋_GB2312"/>
          <w:sz w:val="28"/>
          <w:szCs w:val="28"/>
          <w:u w:val="single"/>
        </w:rPr>
        <w:t>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    </w:t>
      </w:r>
      <w:r>
        <w:rPr>
          <w:rFonts w:hint="eastAsia" w:ascii="仿宋_GB2312" w:hAnsi="仿宋_GB2312" w:eastAsia="仿宋_GB2312" w:cs="仿宋_GB2312"/>
          <w:sz w:val="28"/>
          <w:szCs w:val="28"/>
        </w:rPr>
        <w:t>（供应商）</w:t>
      </w:r>
    </w:p>
    <w:p>
      <w:pPr>
        <w:keepNext w:val="0"/>
        <w:keepLines w:val="0"/>
        <w:pageBreakBefore w:val="0"/>
        <w:kinsoku/>
        <w:wordWrap/>
        <w:overflowPunct/>
        <w:topLinePunct w:val="0"/>
        <w:autoSpaceDE w:val="0"/>
        <w:autoSpaceDN w:val="0"/>
        <w:bidi w:val="0"/>
        <w:adjustRightInd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lang w:val="zh-CN"/>
        </w:rPr>
      </w:pPr>
      <w:r>
        <w:rPr>
          <w:rFonts w:hint="eastAsia" w:ascii="仿宋_GB2312" w:hAnsi="仿宋_GB2312" w:eastAsia="仿宋_GB2312" w:cs="仿宋_GB2312"/>
          <w:sz w:val="28"/>
          <w:szCs w:val="28"/>
        </w:rPr>
        <w:t xml:space="preserve"> 甲乙</w:t>
      </w:r>
      <w:r>
        <w:rPr>
          <w:rFonts w:hint="eastAsia" w:ascii="仿宋_GB2312" w:hAnsi="仿宋_GB2312" w:eastAsia="仿宋_GB2312" w:cs="仿宋_GB2312"/>
          <w:sz w:val="28"/>
          <w:szCs w:val="28"/>
          <w:lang w:val="zh-CN"/>
        </w:rPr>
        <w:t>依照《中华人民共和国合同法》及其他有关法律、行政法规、遵循平等自愿、公平和诚实信用的原则，经友好协商共同确定以下合同条款，以资信守。</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1.1本合同的总金额为人民币（大写）</w:t>
      </w:r>
      <w:r>
        <w:rPr>
          <w:rFonts w:hint="eastAsia" w:ascii="仿宋_GB2312" w:hAnsi="仿宋_GB2312" w:eastAsia="仿宋_GB2312" w:cs="仿宋_GB2312"/>
          <w:sz w:val="28"/>
          <w:szCs w:val="28"/>
          <w:u w:val="single"/>
        </w:rPr>
        <w:t>        元</w:t>
      </w:r>
      <w:r>
        <w:rPr>
          <w:rFonts w:hint="eastAsia" w:ascii="仿宋_GB2312" w:hAnsi="仿宋_GB2312" w:eastAsia="仿宋_GB2312" w:cs="仿宋_GB2312"/>
          <w:sz w:val="28"/>
          <w:szCs w:val="28"/>
        </w:rPr>
        <w:t>（</w:t>
      </w:r>
      <w:r>
        <w:rPr>
          <w:rFonts w:hint="eastAsia" w:ascii="仿宋_GB2312" w:hAnsi="仿宋_GB2312" w:eastAsia="仿宋_GB2312" w:cs="仿宋_GB2312"/>
          <w:b w:val="0"/>
          <w:bCs w:val="0"/>
          <w:sz w:val="28"/>
          <w:szCs w:val="28"/>
        </w:rPr>
        <w:t>¥  </w:t>
      </w:r>
      <w:r>
        <w:rPr>
          <w:rFonts w:hint="eastAsia" w:ascii="仿宋_GB2312" w:hAnsi="仿宋_GB2312" w:eastAsia="仿宋_GB2312" w:cs="仿宋_GB2312"/>
          <w:sz w:val="28"/>
          <w:szCs w:val="28"/>
        </w:rPr>
        <w:t>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1.2本工程采用全费用综合单价报价。</w:t>
      </w:r>
    </w:p>
    <w:p>
      <w:pPr>
        <w:keepNext w:val="0"/>
        <w:keepLines w:val="0"/>
        <w:pageBreakBefore w:val="0"/>
        <w:widowControl/>
        <w:kinsoku/>
        <w:wordWrap/>
        <w:overflowPunct/>
        <w:topLinePunct w:val="0"/>
        <w:bidi w:val="0"/>
        <w:snapToGrid/>
        <w:spacing w:line="560" w:lineRule="exact"/>
        <w:ind w:left="0" w:leftChars="0" w:right="0" w:rightChars="0" w:firstLine="31680" w:firstLineChars="1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（一）验收</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1、甲方对乙方所交货物依照国家有关技术标准进行现场验收；须安装的，由乙方现场安装调试，性能达到技术要求的，给予签收，验收不合格的不予签收。</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2、甲方应在货物安装调试完毕之日起</w:t>
      </w:r>
      <w:r>
        <w:rPr>
          <w:rFonts w:hint="eastAsia" w:ascii="仿宋_GB2312" w:hAnsi="仿宋_GB2312" w:eastAsia="仿宋_GB2312" w:cs="仿宋_GB2312"/>
          <w:sz w:val="28"/>
          <w:szCs w:val="28"/>
          <w:u w:val="single"/>
        </w:rPr>
        <w:t>一个月内</w:t>
      </w:r>
      <w:r>
        <w:rPr>
          <w:rFonts w:hint="eastAsia" w:ascii="仿宋_GB2312" w:hAnsi="仿宋_GB2312" w:eastAsia="仿宋_GB2312" w:cs="仿宋_GB2312"/>
          <w:sz w:val="28"/>
          <w:szCs w:val="28"/>
        </w:rPr>
        <w:t>验收完毕，并作出验收结果报告,验收时乙方必须在现场。</w:t>
      </w:r>
    </w:p>
    <w:p>
      <w:pPr>
        <w:keepNext w:val="0"/>
        <w:keepLines w:val="0"/>
        <w:pageBreakBefore w:val="0"/>
        <w:widowControl/>
        <w:kinsoku/>
        <w:wordWrap/>
        <w:overflowPunct/>
        <w:topLinePunct w:val="0"/>
        <w:bidi w:val="0"/>
        <w:snapToGrid/>
        <w:spacing w:line="560" w:lineRule="exact"/>
        <w:ind w:left="0" w:leftChars="0" w:right="0" w:rightChars="0" w:firstLine="31680" w:firstLineChars="1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 交货期及交货方式</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1、交货期：合同签订后</w:t>
      </w:r>
      <w:r>
        <w:rPr>
          <w:rFonts w:hint="eastAsia" w:ascii="仿宋_GB2312" w:hAnsi="仿宋_GB2312" w:eastAsia="仿宋_GB2312" w:cs="仿宋_GB2312"/>
          <w:sz w:val="28"/>
          <w:szCs w:val="28"/>
          <w:u w:val="single"/>
        </w:rPr>
        <w:t xml:space="preserve"> 20 </w:t>
      </w:r>
      <w:r>
        <w:rPr>
          <w:rFonts w:hint="eastAsia" w:ascii="仿宋_GB2312" w:hAnsi="仿宋_GB2312" w:eastAsia="仿宋_GB2312" w:cs="仿宋_GB2312"/>
          <w:sz w:val="28"/>
          <w:szCs w:val="28"/>
        </w:rPr>
        <w:t>日历天内完成制作、运输及安装交付。</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2、交货方式：以货物运到甲方指定地点，须安装的，现场安装调试验收。</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3、交货地点：招标单位指定地点</w:t>
      </w:r>
    </w:p>
    <w:p>
      <w:pPr>
        <w:keepNext w:val="0"/>
        <w:keepLines w:val="0"/>
        <w:pageBreakBefore w:val="0"/>
        <w:widowControl/>
        <w:kinsoku/>
        <w:wordWrap/>
        <w:overflowPunct/>
        <w:topLinePunct w:val="0"/>
        <w:bidi w:val="0"/>
        <w:snapToGrid/>
        <w:spacing w:line="560" w:lineRule="exact"/>
        <w:ind w:left="0" w:leftChars="0" w:right="0" w:rightChars="0" w:firstLine="31680" w:firstLineChars="1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 付款方式</w:t>
      </w:r>
    </w:p>
    <w:p>
      <w:pPr>
        <w:keepNext w:val="0"/>
        <w:keepLines w:val="0"/>
        <w:pageBreakBefore w:val="0"/>
        <w:widowControl/>
        <w:kinsoku/>
        <w:wordWrap/>
        <w:overflowPunct/>
        <w:topLinePunct w:val="0"/>
        <w:bidi w:val="0"/>
        <w:snapToGrid/>
        <w:spacing w:line="560" w:lineRule="exact"/>
        <w:ind w:left="0" w:leftChars="0" w:right="0" w:rightChars="0" w:firstLine="31680" w:firstLineChars="1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1、本项目无预付款。安装后经验收合格付至合同价的80%，经审计后付至审定价的95%，质保期满后付清余款（无息）。</w:t>
      </w:r>
    </w:p>
    <w:p>
      <w:pPr>
        <w:keepNext w:val="0"/>
        <w:keepLines w:val="0"/>
        <w:pageBreakBefore w:val="0"/>
        <w:widowControl/>
        <w:kinsoku/>
        <w:wordWrap/>
        <w:overflowPunct/>
        <w:topLinePunct w:val="0"/>
        <w:bidi w:val="0"/>
        <w:snapToGrid/>
        <w:spacing w:line="560" w:lineRule="exact"/>
        <w:ind w:left="0" w:leftChars="0" w:right="0" w:rightChars="0" w:firstLine="31680" w:firstLineChars="1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（四）质量保证金</w:t>
      </w:r>
    </w:p>
    <w:p>
      <w:pPr>
        <w:keepNext w:val="0"/>
        <w:keepLines w:val="0"/>
        <w:pageBreakBefore w:val="0"/>
        <w:widowControl/>
        <w:kinsoku/>
        <w:wordWrap/>
        <w:overflowPunct/>
        <w:topLinePunct w:val="0"/>
        <w:bidi w:val="0"/>
        <w:snapToGrid/>
        <w:spacing w:line="560" w:lineRule="exact"/>
        <w:ind w:left="0" w:leftChars="0" w:right="0" w:rightChars="0" w:firstLine="31680" w:firstLineChars="1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合同价的5%，质量保证期为2年。</w:t>
      </w:r>
    </w:p>
    <w:p>
      <w:pPr>
        <w:keepNext w:val="0"/>
        <w:keepLines w:val="0"/>
        <w:pageBreakBefore w:val="0"/>
        <w:widowControl/>
        <w:kinsoku/>
        <w:wordWrap/>
        <w:overflowPunct/>
        <w:topLinePunct w:val="0"/>
        <w:bidi w:val="0"/>
        <w:snapToGrid/>
        <w:spacing w:line="560" w:lineRule="exact"/>
        <w:ind w:left="0" w:leftChars="0" w:right="0" w:rightChars="0" w:firstLine="31680" w:firstLineChars="1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 违约责任</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highlight w:val="yellow"/>
        </w:rPr>
      </w:pPr>
      <w:r>
        <w:rPr>
          <w:rFonts w:hint="eastAsia" w:ascii="仿宋_GB2312" w:hAnsi="仿宋_GB2312" w:eastAsia="仿宋_GB2312" w:cs="仿宋_GB2312"/>
          <w:sz w:val="28"/>
          <w:szCs w:val="28"/>
        </w:rPr>
        <w:t>1、工期每延误一天，承包人须按5000元/天向发包人支付违约金。</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2、逾期超过10天仍不能交货的，甲方可解除双方的供货合同，造成甲方损失的，由乙方负责赔偿。</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3、其他未尽事宜，双方签订合同时按合同法议定。</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（六）质量要求</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1、 质量保证：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为保证整个系统的品质，提高系统的可靠性，中标公示必须保证：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（1） 本次招标产品三年内不生锈。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（2） 采用先进的波峰焊生产线进行焊接。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（3） 经过严格培训的工程技术人员和生产线工人。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（4） 严格的工艺标准。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（5） 严格的质检体系。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2、工程维护：</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（1）自工程验收合格（或提货）之日起，提供宣传栏12个月的免费保修。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（2）保修期过后，只收取维修工本费，实行终身维护及升级改造。  </w:t>
      </w:r>
    </w:p>
    <w:p>
      <w:pPr>
        <w:keepNext w:val="0"/>
        <w:keepLines w:val="0"/>
        <w:pageBreakBefore w:val="0"/>
        <w:widowControl/>
        <w:kinsoku/>
        <w:wordWrap/>
        <w:overflowPunct/>
        <w:topLinePunct w:val="0"/>
        <w:bidi w:val="0"/>
        <w:snapToGrid/>
        <w:spacing w:line="560" w:lineRule="exact"/>
        <w:ind w:left="0" w:leftChars="0" w:right="0" w:rightChars="0" w:firstLine="31680" w:firstLineChars="1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（十）合同生效及其它</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1、合同经双方法定代表人或委托代理人签字加盖单位公章。</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2、合同执行中，如需修改或补充合同内容，另签署的书面修改或补充协议作为主合同不可分割的一部分。</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3、本合同一式陆份，甲、乙双方各执叁份，均具同等法律效力。</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甲方（招标单位） ：                      乙方（供应商）：</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法定代表人或委托代理人：                 法定代表人或委托代理人： </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    址：                 地    址：</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                 联系电话：</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开户银行：                                开户银行：</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开户名称：                                开户名称：</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银行帐号：                                银行帐号：</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签约地址：</w:t>
      </w:r>
    </w:p>
    <w:p>
      <w:pPr>
        <w:keepNext w:val="0"/>
        <w:keepLines w:val="0"/>
        <w:pageBreakBefore w:val="0"/>
        <w:widowControl/>
        <w:kinsoku/>
        <w:wordWrap/>
        <w:overflowPunct/>
        <w:topLinePunct w:val="0"/>
        <w:bidi w:val="0"/>
        <w:snapToGrid/>
        <w:spacing w:line="560" w:lineRule="exact"/>
        <w:ind w:left="0" w:leftChars="0" w:right="0" w:rightChars="0"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签约日期：   年  月  日</w:t>
      </w:r>
    </w:p>
    <w:p>
      <w:pPr>
        <w:keepNext w:val="0"/>
        <w:keepLines w:val="0"/>
        <w:pageBreakBefore w:val="0"/>
        <w:kinsoku/>
        <w:wordWrap/>
        <w:overflowPunct/>
        <w:topLinePunct w:val="0"/>
        <w:bidi w:val="0"/>
        <w:spacing w:line="240" w:lineRule="auto"/>
        <w:jc w:val="center"/>
        <w:textAlignment w:val="auto"/>
        <w:outlineLvl w:val="9"/>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 xml:space="preserve">六 </w:t>
      </w:r>
      <w:r>
        <w:rPr>
          <w:rFonts w:hint="eastAsia" w:ascii="仿宋_GB2312" w:hAnsi="仿宋_GB2312" w:eastAsia="仿宋_GB2312" w:cs="仿宋_GB2312"/>
          <w:b/>
          <w:bCs/>
          <w:sz w:val="28"/>
          <w:szCs w:val="28"/>
        </w:rPr>
        <w:t>技术规范、参数要求</w:t>
      </w:r>
    </w:p>
    <w:p>
      <w:pPr>
        <w:keepNext w:val="0"/>
        <w:keepLines w:val="0"/>
        <w:pageBreakBefore w:val="0"/>
        <w:widowControl w:val="0"/>
        <w:kinsoku/>
        <w:wordWrap/>
        <w:overflowPunct/>
        <w:topLinePunct w:val="0"/>
        <w:bidi w:val="0"/>
        <w:adjustRightInd w:val="0"/>
        <w:snapToGrid w:val="0"/>
        <w:spacing w:line="440" w:lineRule="exact"/>
        <w:ind w:firstLine="31680" w:firstLineChars="2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w:t>
      </w:r>
      <w:r>
        <w:rPr>
          <w:rFonts w:hint="eastAsia" w:ascii="仿宋_GB2312" w:hAnsi="仿宋_GB2312" w:eastAsia="仿宋_GB2312" w:cs="仿宋_GB2312"/>
          <w:sz w:val="28"/>
          <w:szCs w:val="28"/>
        </w:rPr>
        <w:t>技术规范：</w:t>
      </w:r>
    </w:p>
    <w:p>
      <w:pPr>
        <w:keepNext w:val="0"/>
        <w:keepLines w:val="0"/>
        <w:pageBreakBefore w:val="0"/>
        <w:widowControl w:val="0"/>
        <w:kinsoku/>
        <w:wordWrap/>
        <w:overflowPunct/>
        <w:topLinePunct w:val="0"/>
        <w:bidi w:val="0"/>
        <w:spacing w:line="440" w:lineRule="exact"/>
        <w:ind w:left="31680" w:leftChars="219" w:firstLine="31680" w:firstLineChars="2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本项目执行国家、行业颁布的相关标准,规范,规程,应执行之。</w:t>
      </w:r>
    </w:p>
    <w:p>
      <w:pPr>
        <w:keepNext w:val="0"/>
        <w:keepLines w:val="0"/>
        <w:pageBreakBefore w:val="0"/>
        <w:widowControl w:val="0"/>
        <w:kinsoku/>
        <w:wordWrap/>
        <w:overflowPunct/>
        <w:topLinePunct w:val="0"/>
        <w:bidi w:val="0"/>
        <w:spacing w:line="440" w:lineRule="exact"/>
        <w:ind w:left="459"/>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备注： 1、同类标准中若国家有新颁布实施的，按新标准执行。</w:t>
      </w:r>
    </w:p>
    <w:p>
      <w:pPr>
        <w:keepNext w:val="0"/>
        <w:keepLines w:val="0"/>
        <w:pageBreakBefore w:val="0"/>
        <w:widowControl w:val="0"/>
        <w:kinsoku/>
        <w:wordWrap/>
        <w:overflowPunct/>
        <w:topLinePunct w:val="0"/>
        <w:bidi w:val="0"/>
        <w:spacing w:line="440" w:lineRule="exact"/>
        <w:ind w:left="459" w:firstLine="31680" w:firstLineChars="4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2、若没有国颁标准的，按相应的行业标准执行。</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二、技术参数：</w:t>
      </w:r>
    </w:p>
    <w:p>
      <w:pPr>
        <w:keepNext w:val="0"/>
        <w:keepLines w:val="0"/>
        <w:pageBreakBefore w:val="0"/>
        <w:widowControl w:val="0"/>
        <w:kinsoku/>
        <w:wordWrap/>
        <w:overflowPunct/>
        <w:topLinePunct w:val="0"/>
        <w:bidi w:val="0"/>
        <w:spacing w:line="440" w:lineRule="exact"/>
        <w:ind w:firstLine="31680" w:firstLineChars="35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宣传栏采用铰链反扣，隐形折页，减少箱体缝隙；箱体采用冲压箱板结构，使用防水橡胶条，不锈钢隐形锁，气动液压开启组件，箱体防水防尘；采用拼接工艺，做到现场无焊接。塑粉采用进口户外专用粉，保证十年色衰率低于5%。</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一、顶 篷：</w:t>
      </w:r>
    </w:p>
    <w:p>
      <w:pPr>
        <w:keepNext w:val="0"/>
        <w:keepLines w:val="0"/>
        <w:pageBreakBefore w:val="0"/>
        <w:widowControl w:val="0"/>
        <w:kinsoku/>
        <w:wordWrap/>
        <w:overflowPunct/>
        <w:topLinePunct w:val="0"/>
        <w:bidi w:val="0"/>
        <w:spacing w:line="440" w:lineRule="exact"/>
        <w:ind w:firstLine="31680" w:firstLineChars="3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1、顶棚采用1.5mm镀锌钢板，酸洗磷化，表面静电喷塑处理。</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2、顶棚内置（5*5cm镀锌方管），链接件。</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二、立 柱：</w:t>
      </w:r>
    </w:p>
    <w:p>
      <w:pPr>
        <w:keepNext w:val="0"/>
        <w:keepLines w:val="0"/>
        <w:pageBreakBefore w:val="0"/>
        <w:widowControl w:val="0"/>
        <w:kinsoku/>
        <w:wordWrap/>
        <w:overflowPunct/>
        <w:topLinePunct w:val="0"/>
        <w:bidi w:val="0"/>
        <w:spacing w:line="440" w:lineRule="exact"/>
        <w:ind w:firstLine="31680" w:firstLineChars="347"/>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1、柱采用2.0mm厚150mm×150mm镀锌钢方柱，热浸锌，表面喷户外静电喷塑处理。</w:t>
      </w:r>
    </w:p>
    <w:p>
      <w:pPr>
        <w:keepNext w:val="0"/>
        <w:keepLines w:val="0"/>
        <w:pageBreakBefore w:val="0"/>
        <w:widowControl w:val="0"/>
        <w:kinsoku/>
        <w:wordWrap/>
        <w:overflowPunct/>
        <w:topLinePunct w:val="0"/>
        <w:bidi w:val="0"/>
        <w:spacing w:line="440" w:lineRule="exact"/>
        <w:ind w:firstLine="31680" w:firstLineChars="3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2、立柱采用可调节活动钢板（10mm），用于校正平行。</w:t>
      </w:r>
    </w:p>
    <w:p>
      <w:pPr>
        <w:keepNext w:val="0"/>
        <w:keepLines w:val="0"/>
        <w:pageBreakBefore w:val="0"/>
        <w:widowControl w:val="0"/>
        <w:kinsoku/>
        <w:wordWrap/>
        <w:overflowPunct/>
        <w:topLinePunct w:val="0"/>
        <w:bidi w:val="0"/>
        <w:spacing w:line="440" w:lineRule="exact"/>
        <w:ind w:firstLine="31680" w:firstLineChars="396"/>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3、柱与灯箱、顶部承托弓之间采用不锈钢螺栓联接。</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三、箱 体</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1、箱体采用1.5mm厚镀锌钢板，液压开启支撑，磷化，表面喷户外粉处理。</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2、箱体内置密封胶条，隐形折页，加强钢板（箱体和外框都有的）</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四、外 框：</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1、外框采用1.5mm厚镀锌钢板板，磷化，表面喷户外粉处理。</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2、钢化玻璃采用5.0mm厚透明钢化玻璃（台玻宣传栏专用钢化玻璃）。</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3、钢化玻璃与外框的组合采用K型3×10防水、防尘垫胶，用锌板收压。</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4、钢化玻璃上设渐变花边。</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5、外框内部周边设画面安装凹槽。</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五、箱体与外框的配合：</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1、箱体与外框采用铰链反扣技术（隐形折页）。</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2、箱体与外框的配合增设P型5×10防水，防尘密封胶条。</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3、外框开启时采用液压撑杆固定，关闭时采用防盗隐形锁固定。 六 基础混凝土比例与浇灌：</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1、混凝土比例：1：3：4。</w:t>
      </w:r>
    </w:p>
    <w:p>
      <w:pPr>
        <w:keepNext w:val="0"/>
        <w:keepLines w:val="0"/>
        <w:pageBreakBefore w:val="0"/>
        <w:widowControl w:val="0"/>
        <w:kinsoku/>
        <w:wordWrap/>
        <w:overflowPunct/>
        <w:topLinePunct w:val="0"/>
        <w:bidi w:val="0"/>
        <w:spacing w:line="440" w:lineRule="exact"/>
        <w:ind w:firstLine="31680" w:firstLineChars="20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2、混凝土分两次浇灌。 七、宣传栏有螺栓（除地脚螺栓外）均为不锈钢</w: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color w:val="000000"/>
          <w:kern w:val="0"/>
          <w:sz w:val="28"/>
          <w:szCs w:val="28"/>
          <w:lang w:eastAsia="zh-CN"/>
        </w:rPr>
      </w:pPr>
      <w:r>
        <w:rPr>
          <w:rFonts w:hint="eastAsia" w:ascii="仿宋_GB2312" w:hAnsi="仿宋_GB2312" w:eastAsia="仿宋_GB2312" w:cs="仿宋_GB2312"/>
          <w:b/>
          <w:bCs/>
          <w:color w:val="000000"/>
          <w:kern w:val="0"/>
          <w:sz w:val="28"/>
          <w:szCs w:val="28"/>
        </w:rPr>
        <w:t xml:space="preserve">七  </w:t>
      </w:r>
      <w:r>
        <w:rPr>
          <w:rFonts w:hint="eastAsia" w:ascii="仿宋_GB2312" w:hAnsi="仿宋_GB2312" w:eastAsia="仿宋_GB2312" w:cs="仿宋_GB2312"/>
          <w:b/>
          <w:bCs/>
          <w:color w:val="000000"/>
          <w:kern w:val="0"/>
          <w:sz w:val="28"/>
          <w:szCs w:val="28"/>
          <w:lang w:eastAsia="zh-CN"/>
        </w:rPr>
        <w:t>样式（</w:t>
      </w:r>
      <w:r>
        <w:rPr>
          <w:rFonts w:hint="eastAsia" w:ascii="仿宋_GB2312" w:hAnsi="仿宋_GB2312" w:eastAsia="仿宋_GB2312" w:cs="仿宋_GB2312"/>
          <w:b/>
          <w:bCs/>
          <w:color w:val="000000"/>
          <w:kern w:val="0"/>
          <w:sz w:val="28"/>
          <w:szCs w:val="28"/>
        </w:rPr>
        <w:t>清单另附</w:t>
      </w:r>
      <w:r>
        <w:rPr>
          <w:rFonts w:hint="eastAsia" w:ascii="仿宋_GB2312" w:hAnsi="仿宋_GB2312" w:eastAsia="仿宋_GB2312" w:cs="仿宋_GB2312"/>
          <w:b/>
          <w:bCs/>
          <w:color w:val="000000"/>
          <w:kern w:val="0"/>
          <w:sz w:val="28"/>
          <w:szCs w:val="28"/>
          <w:lang w:eastAsia="zh-CN"/>
        </w:rPr>
        <w:t>）</w:t>
      </w:r>
    </w:p>
    <w:p>
      <w:pPr>
        <w:keepNext w:val="0"/>
        <w:keepLines w:val="0"/>
        <w:pageBreakBefore w:val="0"/>
        <w:widowControl w:val="0"/>
        <w:kinsoku/>
        <w:wordWrap/>
        <w:overflowPunct/>
        <w:topLinePunct w:val="0"/>
        <w:bidi w:val="0"/>
        <w:spacing w:line="440" w:lineRule="exact"/>
        <w:jc w:val="both"/>
        <w:textAlignment w:val="auto"/>
        <w:outlineLvl w:val="9"/>
        <w:rPr>
          <w:rFonts w:hint="eastAsia" w:ascii="仿宋_GB2312" w:hAnsi="仿宋_GB2312" w:eastAsia="仿宋_GB2312" w:cs="仿宋_GB2312"/>
          <w:b/>
          <w:bCs/>
          <w:color w:val="000000"/>
          <w:kern w:val="0"/>
          <w:sz w:val="28"/>
          <w:szCs w:val="28"/>
          <w:lang w:eastAsia="zh-CN"/>
        </w:rPr>
      </w:pPr>
      <w:r>
        <w:rPr>
          <w:rFonts w:hint="eastAsia" w:ascii="仿宋_GB2312" w:hAnsi="仿宋_GB2312" w:eastAsia="仿宋_GB2312" w:cs="仿宋_GB2312"/>
          <w:b/>
          <w:bCs/>
          <w:color w:val="000000"/>
          <w:kern w:val="0"/>
          <w:sz w:val="28"/>
          <w:szCs w:val="28"/>
          <w:lang w:eastAsia="zh-CN"/>
        </w:rPr>
        <w:t>一、样式图：</w:t>
      </w:r>
    </w:p>
    <w:p>
      <w:pPr>
        <w:keepNext w:val="0"/>
        <w:keepLines w:val="0"/>
        <w:pageBreakBefore w:val="0"/>
        <w:widowControl w:val="0"/>
        <w:kinsoku/>
        <w:wordWrap/>
        <w:overflowPunct/>
        <w:topLinePunct w:val="0"/>
        <w:bidi w:val="0"/>
        <w:spacing w:line="240" w:lineRule="auto"/>
        <w:jc w:val="center"/>
        <w:textAlignment w:val="auto"/>
        <w:outlineLvl w:val="9"/>
        <w:rPr>
          <w:rFonts w:hint="eastAsia" w:ascii="仿宋_GB2312" w:hAnsi="仿宋_GB2312" w:eastAsia="仿宋_GB2312" w:cs="仿宋_GB2312"/>
          <w:b/>
          <w:bCs/>
          <w:color w:val="000000"/>
          <w:kern w:val="0"/>
          <w:sz w:val="28"/>
          <w:szCs w:val="28"/>
          <w:lang w:eastAsia="zh-CN"/>
        </w:rPr>
      </w:pPr>
      <w:r>
        <w:rPr>
          <w:rFonts w:hint="eastAsia" w:ascii="仿宋_GB2312" w:hAnsi="仿宋_GB2312" w:eastAsia="仿宋_GB2312" w:cs="仿宋_GB2312"/>
          <w:b/>
          <w:bCs/>
          <w:color w:val="000000"/>
          <w:kern w:val="0"/>
          <w:sz w:val="28"/>
          <w:szCs w:val="28"/>
          <w:lang w:eastAsia="zh-CN"/>
        </w:rPr>
        <w:pict>
          <v:shape id="_x0000_i1026" o:spt="75" alt="样式图1" type="#_x0000_t75" style="height:372.55pt;width:501.9pt;" filled="f" o:preferrelative="t" stroked="f" coordsize="21600,21600">
            <v:path/>
            <v:fill on="f" focussize="0,0"/>
            <v:stroke on="f"/>
            <v:imagedata r:id="rId6" o:title="样式图1"/>
            <o:lock v:ext="edit" aspectratio="t"/>
            <w10:wrap type="none"/>
            <w10:anchorlock/>
          </v:shape>
        </w:pict>
      </w:r>
      <w:r>
        <w:rPr>
          <w:rFonts w:hint="eastAsia" w:ascii="仿宋_GB2312" w:hAnsi="仿宋_GB2312" w:eastAsia="仿宋_GB2312" w:cs="仿宋_GB2312"/>
          <w:b/>
          <w:bCs/>
          <w:color w:val="000000"/>
          <w:kern w:val="0"/>
          <w:sz w:val="28"/>
          <w:szCs w:val="28"/>
          <w:lang w:eastAsia="zh-CN"/>
        </w:rPr>
        <w:pict>
          <v:shape id="_x0000_i1025" o:spt="75" alt="样式图2" type="#_x0000_t75" style="height:251.95pt;width:503.95pt;" filled="f" o:preferrelative="t" stroked="f" coordsize="21600,21600">
            <v:path/>
            <v:fill on="f" focussize="0,0"/>
            <v:stroke on="f"/>
            <v:imagedata r:id="rId7" o:title="样式图2"/>
            <o:lock v:ext="edit" aspectratio="t"/>
            <w10:wrap type="none"/>
            <w10:anchorlock/>
          </v:shape>
        </w:pic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color w:val="000000"/>
          <w:kern w:val="0"/>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color w:val="000000"/>
          <w:kern w:val="0"/>
          <w:sz w:val="28"/>
          <w:szCs w:val="28"/>
        </w:rPr>
      </w:pPr>
    </w:p>
    <w:p>
      <w:pPr>
        <w:keepNext w:val="0"/>
        <w:keepLines w:val="0"/>
        <w:pageBreakBefore w:val="0"/>
        <w:widowControl w:val="0"/>
        <w:numPr>
          <w:ilvl w:val="0"/>
          <w:numId w:val="2"/>
        </w:numPr>
        <w:kinsoku/>
        <w:wordWrap/>
        <w:overflowPunct/>
        <w:topLinePunct w:val="0"/>
        <w:bidi w:val="0"/>
        <w:spacing w:line="440" w:lineRule="exact"/>
        <w:jc w:val="left"/>
        <w:textAlignment w:val="auto"/>
        <w:outlineLvl w:val="9"/>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lang w:eastAsia="zh-CN"/>
        </w:rPr>
        <w:t>尺寸</w:t>
      </w:r>
      <w:r>
        <w:rPr>
          <w:rFonts w:hint="eastAsia" w:ascii="仿宋_GB2312" w:hAnsi="仿宋_GB2312" w:eastAsia="仿宋_GB2312" w:cs="仿宋_GB2312"/>
          <w:b/>
          <w:bCs/>
          <w:color w:val="000000"/>
          <w:kern w:val="0"/>
          <w:sz w:val="28"/>
          <w:szCs w:val="28"/>
        </w:rPr>
        <w:t>图：</w:t>
      </w:r>
    </w:p>
    <w:p>
      <w:pPr>
        <w:keepNext w:val="0"/>
        <w:keepLines w:val="0"/>
        <w:pageBreakBefore w:val="0"/>
        <w:widowControl w:val="0"/>
        <w:numPr>
          <w:numId w:val="0"/>
        </w:numPr>
        <w:kinsoku/>
        <w:wordWrap/>
        <w:overflowPunct/>
        <w:topLinePunct w:val="0"/>
        <w:bidi w:val="0"/>
        <w:spacing w:line="240" w:lineRule="auto"/>
        <w:jc w:val="left"/>
        <w:textAlignment w:val="auto"/>
        <w:outlineLvl w:val="9"/>
        <w:rPr>
          <w:rFonts w:hint="eastAsia" w:ascii="仿宋_GB2312" w:hAnsi="仿宋_GB2312" w:eastAsia="仿宋_GB2312" w:cs="仿宋_GB2312"/>
          <w:b/>
          <w:bCs/>
          <w:color w:val="000000"/>
          <w:kern w:val="0"/>
          <w:sz w:val="28"/>
          <w:szCs w:val="28"/>
          <w:lang w:eastAsia="zh-CN"/>
        </w:rPr>
      </w:pPr>
      <w:r>
        <w:rPr>
          <w:rFonts w:hint="eastAsia" w:ascii="仿宋_GB2312" w:hAnsi="仿宋_GB2312" w:eastAsia="仿宋_GB2312" w:cs="仿宋_GB2312"/>
          <w:b/>
          <w:bCs/>
          <w:color w:val="000000"/>
          <w:kern w:val="0"/>
          <w:sz w:val="28"/>
          <w:szCs w:val="28"/>
          <w:lang w:eastAsia="zh-CN"/>
        </w:rPr>
        <w:pict>
          <v:shape id="_x0000_i1028" o:spt="75" alt="尺寸图-Model0" type="#_x0000_t75" style="height:381.95pt;width:503.45pt;" filled="f" o:preferrelative="t" stroked="f" coordsize="21600,21600">
            <v:path/>
            <v:fill on="f" focussize="0,0"/>
            <v:stroke on="f"/>
            <v:imagedata r:id="rId8" o:title="尺寸图-Model0"/>
            <o:lock v:ext="edit" aspectratio="t"/>
            <w10:wrap type="none"/>
            <w10:anchorlock/>
          </v:shape>
        </w:pict>
      </w:r>
      <w:r>
        <w:rPr>
          <w:rFonts w:hint="eastAsia" w:ascii="仿宋_GB2312" w:hAnsi="仿宋_GB2312" w:eastAsia="仿宋_GB2312" w:cs="仿宋_GB2312"/>
          <w:b/>
          <w:bCs/>
          <w:color w:val="000000"/>
          <w:kern w:val="0"/>
          <w:sz w:val="28"/>
          <w:szCs w:val="28"/>
          <w:lang w:eastAsia="zh-CN"/>
        </w:rPr>
        <w:pict>
          <v:shape id="_x0000_i1027" o:spt="75" alt="尺寸图-Model" type="#_x0000_t75" style="height:297.85pt;width:392.55pt;" filled="f" o:preferrelative="t" stroked="f" coordsize="21600,21600">
            <v:path/>
            <v:fill on="f" focussize="0,0"/>
            <v:stroke on="f"/>
            <v:imagedata r:id="rId9" o:title="尺寸图-Model"/>
            <o:lock v:ext="edit" aspectratio="t"/>
            <w10:wrap type="none"/>
            <w10:anchorlock/>
          </v:shape>
        </w:pic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color w:val="000000"/>
          <w:kern w:val="0"/>
          <w:sz w:val="28"/>
          <w:szCs w:val="28"/>
        </w:rPr>
      </w:pPr>
      <w:r>
        <w:rPr>
          <w:rFonts w:hint="eastAsia" w:ascii="仿宋_GB2312" w:hAnsi="仿宋_GB2312" w:eastAsia="仿宋_GB2312" w:cs="仿宋_GB2312"/>
          <w:b/>
          <w:bCs/>
          <w:color w:val="000000"/>
          <w:kern w:val="0"/>
          <w:sz w:val="28"/>
          <w:szCs w:val="28"/>
        </w:rPr>
        <w:t xml:space="preserve">八  </w:t>
      </w:r>
      <w:r>
        <w:rPr>
          <w:rFonts w:hint="eastAsia" w:ascii="仿宋_GB2312" w:hAnsi="仿宋_GB2312" w:eastAsia="仿宋_GB2312" w:cs="仿宋_GB2312"/>
          <w:b/>
          <w:bCs/>
          <w:sz w:val="28"/>
          <w:szCs w:val="28"/>
        </w:rPr>
        <w:t>投标文件格式</w:t>
      </w:r>
    </w:p>
    <w:p>
      <w:pPr>
        <w:keepNext w:val="0"/>
        <w:keepLines w:val="0"/>
        <w:pageBreakBefore w:val="0"/>
        <w:widowControl w:val="0"/>
        <w:kinsoku/>
        <w:wordWrap/>
        <w:overflowPunct/>
        <w:topLinePunct w:val="0"/>
        <w:bidi w:val="0"/>
        <w:snapToGrid w:val="0"/>
        <w:spacing w:line="440" w:lineRule="exact"/>
        <w:jc w:val="center"/>
        <w:textAlignment w:val="auto"/>
        <w:outlineLvl w:val="9"/>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bidi w:val="0"/>
        <w:snapToGrid w:val="0"/>
        <w:spacing w:line="440" w:lineRule="exact"/>
        <w:jc w:val="center"/>
        <w:textAlignment w:val="auto"/>
        <w:outlineLvl w:val="9"/>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目     录</w:t>
      </w:r>
    </w:p>
    <w:p>
      <w:pPr>
        <w:keepNext w:val="0"/>
        <w:keepLines w:val="0"/>
        <w:pageBreakBefore w:val="0"/>
        <w:widowControl w:val="0"/>
        <w:kinsoku/>
        <w:wordWrap/>
        <w:overflowPunct/>
        <w:topLinePunct w:val="0"/>
        <w:bidi w:val="0"/>
        <w:snapToGrid w:val="0"/>
        <w:spacing w:line="440" w:lineRule="exact"/>
        <w:ind w:firstLine="31680" w:firstLineChars="2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napToGrid w:val="0"/>
        <w:spacing w:line="440" w:lineRule="exact"/>
        <w:ind w:firstLine="31680" w:firstLineChars="2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napToGrid w:val="0"/>
        <w:spacing w:line="440" w:lineRule="exact"/>
        <w:ind w:firstLine="31680" w:firstLineChars="3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 投标人资格证明文件</w:t>
      </w:r>
    </w:p>
    <w:p>
      <w:pPr>
        <w:keepNext w:val="0"/>
        <w:keepLines w:val="0"/>
        <w:pageBreakBefore w:val="0"/>
        <w:widowControl w:val="0"/>
        <w:kinsoku/>
        <w:wordWrap/>
        <w:overflowPunct/>
        <w:topLinePunct w:val="0"/>
        <w:bidi w:val="0"/>
        <w:spacing w:line="440" w:lineRule="exact"/>
        <w:ind w:firstLine="31680" w:firstLineChars="3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二、投标函</w:t>
      </w:r>
    </w:p>
    <w:p>
      <w:pPr>
        <w:keepNext w:val="0"/>
        <w:keepLines w:val="0"/>
        <w:pageBreakBefore w:val="0"/>
        <w:widowControl w:val="0"/>
        <w:kinsoku/>
        <w:wordWrap/>
        <w:overflowPunct/>
        <w:topLinePunct w:val="0"/>
        <w:bidi w:val="0"/>
        <w:spacing w:line="440" w:lineRule="exact"/>
        <w:ind w:firstLine="31680" w:firstLineChars="3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三、报价表</w:t>
      </w:r>
    </w:p>
    <w:p>
      <w:pPr>
        <w:keepNext w:val="0"/>
        <w:keepLines w:val="0"/>
        <w:pageBreakBefore w:val="0"/>
        <w:widowControl w:val="0"/>
        <w:kinsoku/>
        <w:wordWrap/>
        <w:overflowPunct/>
        <w:topLinePunct w:val="0"/>
        <w:bidi w:val="0"/>
        <w:spacing w:line="440" w:lineRule="exact"/>
        <w:ind w:left="31680" w:leftChars="286" w:firstLine="31680" w:firstLineChars="1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四、投标方案及投标产品偏差表</w: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bookmarkStart w:id="0" w:name="_GoBack"/>
      <w:bookmarkEnd w:id="0"/>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napToGrid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 投标人资格证明文件</w: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1、法定代表人授权委托书</w:t>
      </w:r>
    </w:p>
    <w:p>
      <w:pPr>
        <w:pStyle w:val="55"/>
        <w:keepNext w:val="0"/>
        <w:keepLines w:val="0"/>
        <w:pageBreakBefore w:val="0"/>
        <w:widowControl w:val="0"/>
        <w:kinsoku/>
        <w:wordWrap/>
        <w:overflowPunct/>
        <w:topLinePunct w:val="0"/>
        <w:bidi w:val="0"/>
        <w:spacing w:before="0" w:beforeAutospacing="0" w:after="0" w:afterAutospacing="0" w:line="440" w:lineRule="exact"/>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本授权委托书声明：我</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（姓名）系</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（投标单位名称）的法定代表人，现授权委托</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单位名称）的</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（姓名）为我公司代理人，以本公司的名义参加</w:t>
      </w:r>
      <w:r>
        <w:rPr>
          <w:rFonts w:hint="eastAsia" w:ascii="仿宋_GB2312" w:hAnsi="仿宋_GB2312" w:eastAsia="仿宋_GB2312" w:cs="仿宋_GB2312"/>
          <w:b/>
          <w:bCs/>
          <w:sz w:val="28"/>
          <w:szCs w:val="28"/>
          <w:u w:val="single"/>
        </w:rPr>
        <w:t xml:space="preserve">                        </w:t>
      </w:r>
      <w:r>
        <w:rPr>
          <w:rFonts w:hint="eastAsia" w:ascii="仿宋_GB2312" w:hAnsi="仿宋_GB2312" w:eastAsia="仿宋_GB2312" w:cs="仿宋_GB2312"/>
          <w:sz w:val="28"/>
          <w:szCs w:val="28"/>
        </w:rPr>
        <w:t>项目的投标活动。代理人在开标、评标、合同谈判过程中所签署的一切文件和处理与这有关的一切事务，我均予以承认。</w:t>
      </w: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代理人无转委权，特此委托。</w:t>
      </w: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代理人：         性别：         年龄：       身份证号码 ：</w:t>
      </w: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单位：           部门：                       职务：                                                  </w: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pStyle w:val="12"/>
        <w:keepNext w:val="0"/>
        <w:keepLines w:val="0"/>
        <w:pageBreakBefore w:val="0"/>
        <w:widowControl w:val="0"/>
        <w:kinsoku/>
        <w:wordWrap/>
        <w:overflowPunct/>
        <w:topLinePunct w:val="0"/>
        <w:bidi w:val="0"/>
        <w:spacing w:line="440" w:lineRule="exact"/>
        <w:ind w:left="5250" w:leftChars="0"/>
        <w:textAlignment w:val="auto"/>
        <w:outlineLvl w:val="9"/>
        <w:rPr>
          <w:rFonts w:hint="eastAsia" w:ascii="仿宋_GB2312" w:hAnsi="仿宋_GB2312" w:eastAsia="仿宋_GB2312" w:cs="仿宋_GB2312"/>
          <w:kern w:val="0"/>
          <w:sz w:val="28"/>
          <w:szCs w:val="28"/>
        </w:rPr>
      </w:pPr>
    </w:p>
    <w:p>
      <w:pPr>
        <w:pStyle w:val="12"/>
        <w:keepNext w:val="0"/>
        <w:keepLines w:val="0"/>
        <w:pageBreakBefore w:val="0"/>
        <w:widowControl w:val="0"/>
        <w:kinsoku/>
        <w:wordWrap/>
        <w:overflowPunct/>
        <w:topLinePunct w:val="0"/>
        <w:bidi w:val="0"/>
        <w:spacing w:line="440" w:lineRule="exact"/>
        <w:ind w:left="5250" w:leftChars="0"/>
        <w:textAlignment w:val="auto"/>
        <w:outlineLvl w:val="9"/>
        <w:rPr>
          <w:rFonts w:hint="eastAsia" w:ascii="仿宋_GB2312" w:hAnsi="仿宋_GB2312" w:eastAsia="仿宋_GB2312" w:cs="仿宋_GB2312"/>
          <w:kern w:val="0"/>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单位：（法人盖章）：</w:t>
      </w:r>
    </w:p>
    <w:p>
      <w:pPr>
        <w:keepNext w:val="0"/>
        <w:keepLines w:val="0"/>
        <w:pageBreakBefore w:val="0"/>
        <w:widowControl w:val="0"/>
        <w:kinsoku/>
        <w:wordWrap/>
        <w:overflowPunct/>
        <w:topLinePunct w:val="0"/>
        <w:bidi w:val="0"/>
        <w:spacing w:line="440" w:lineRule="exact"/>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法定代表：（签字）：</w:t>
      </w: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right"/>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年       月      日</w: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2、投标人资格调查表</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投标人名称及有关情况</w:t>
      </w:r>
    </w:p>
    <w:p>
      <w:pPr>
        <w:keepNext w:val="0"/>
        <w:keepLines w:val="0"/>
        <w:pageBreakBefore w:val="0"/>
        <w:widowControl w:val="0"/>
        <w:numPr>
          <w:ilvl w:val="0"/>
          <w:numId w:val="4"/>
        </w:numPr>
        <w:tabs>
          <w:tab w:val="left" w:pos="750"/>
          <w:tab w:val="clear" w:pos="1318"/>
        </w:tabs>
        <w:kinsoku/>
        <w:wordWrap/>
        <w:overflowPunct/>
        <w:topLinePunct w:val="0"/>
        <w:autoSpaceDE/>
        <w:autoSpaceDN/>
        <w:bidi w:val="0"/>
        <w:adjustRightInd/>
        <w:snapToGrid/>
        <w:spacing w:line="440" w:lineRule="exact"/>
        <w:ind w:left="750"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投标人名称：</w:t>
      </w:r>
    </w:p>
    <w:p>
      <w:pPr>
        <w:keepNext w:val="0"/>
        <w:keepLines w:val="0"/>
        <w:pageBreakBefore w:val="0"/>
        <w:widowControl w:val="0"/>
        <w:numPr>
          <w:ilvl w:val="0"/>
          <w:numId w:val="4"/>
        </w:numPr>
        <w:tabs>
          <w:tab w:val="left" w:pos="750"/>
          <w:tab w:val="clear" w:pos="1318"/>
        </w:tabs>
        <w:kinsoku/>
        <w:wordWrap/>
        <w:overflowPunct/>
        <w:topLinePunct w:val="0"/>
        <w:autoSpaceDE/>
        <w:autoSpaceDN/>
        <w:bidi w:val="0"/>
        <w:adjustRightInd/>
        <w:snapToGrid/>
        <w:spacing w:line="440" w:lineRule="exact"/>
        <w:ind w:left="750"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  址：                         电话：</w:t>
      </w:r>
    </w:p>
    <w:p>
      <w:pPr>
        <w:keepNext w:val="0"/>
        <w:keepLines w:val="0"/>
        <w:pageBreakBefore w:val="0"/>
        <w:widowControl w:val="0"/>
        <w:numPr>
          <w:ilvl w:val="0"/>
          <w:numId w:val="4"/>
        </w:numPr>
        <w:tabs>
          <w:tab w:val="left" w:pos="750"/>
          <w:tab w:val="clear" w:pos="1318"/>
        </w:tabs>
        <w:kinsoku/>
        <w:wordWrap/>
        <w:overflowPunct/>
        <w:topLinePunct w:val="0"/>
        <w:autoSpaceDE/>
        <w:autoSpaceDN/>
        <w:bidi w:val="0"/>
        <w:adjustRightInd/>
        <w:snapToGrid/>
        <w:spacing w:line="440" w:lineRule="exact"/>
        <w:ind w:left="750"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成立和注册日期：</w:t>
      </w:r>
    </w:p>
    <w:p>
      <w:pPr>
        <w:keepNext w:val="0"/>
        <w:keepLines w:val="0"/>
        <w:pageBreakBefore w:val="0"/>
        <w:widowControl w:val="0"/>
        <w:numPr>
          <w:ilvl w:val="0"/>
          <w:numId w:val="4"/>
        </w:numPr>
        <w:tabs>
          <w:tab w:val="left" w:pos="750"/>
          <w:tab w:val="clear" w:pos="1318"/>
        </w:tabs>
        <w:kinsoku/>
        <w:wordWrap/>
        <w:overflowPunct/>
        <w:topLinePunct w:val="0"/>
        <w:autoSpaceDE/>
        <w:autoSpaceDN/>
        <w:bidi w:val="0"/>
        <w:adjustRightInd/>
        <w:snapToGrid/>
        <w:spacing w:line="440" w:lineRule="exact"/>
        <w:ind w:left="750"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主管部门：</w:t>
      </w:r>
    </w:p>
    <w:p>
      <w:pPr>
        <w:keepNext w:val="0"/>
        <w:keepLines w:val="0"/>
        <w:pageBreakBefore w:val="0"/>
        <w:widowControl w:val="0"/>
        <w:numPr>
          <w:ilvl w:val="0"/>
          <w:numId w:val="4"/>
        </w:numPr>
        <w:tabs>
          <w:tab w:val="left" w:pos="750"/>
          <w:tab w:val="clear" w:pos="1318"/>
        </w:tabs>
        <w:kinsoku/>
        <w:wordWrap/>
        <w:overflowPunct/>
        <w:topLinePunct w:val="0"/>
        <w:autoSpaceDE/>
        <w:autoSpaceDN/>
        <w:bidi w:val="0"/>
        <w:adjustRightInd/>
        <w:snapToGrid/>
        <w:spacing w:line="440" w:lineRule="exact"/>
        <w:ind w:left="750"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公司性质：</w:t>
      </w:r>
    </w:p>
    <w:p>
      <w:pPr>
        <w:keepNext w:val="0"/>
        <w:keepLines w:val="0"/>
        <w:pageBreakBefore w:val="0"/>
        <w:widowControl w:val="0"/>
        <w:numPr>
          <w:ilvl w:val="0"/>
          <w:numId w:val="4"/>
        </w:numPr>
        <w:tabs>
          <w:tab w:val="left" w:pos="750"/>
          <w:tab w:val="clear" w:pos="1318"/>
        </w:tabs>
        <w:kinsoku/>
        <w:wordWrap/>
        <w:overflowPunct/>
        <w:topLinePunct w:val="0"/>
        <w:autoSpaceDE/>
        <w:autoSpaceDN/>
        <w:bidi w:val="0"/>
        <w:adjustRightInd/>
        <w:snapToGrid/>
        <w:spacing w:line="440" w:lineRule="exact"/>
        <w:ind w:left="750"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职工总人数：</w:t>
      </w:r>
    </w:p>
    <w:p>
      <w:pPr>
        <w:keepNext w:val="0"/>
        <w:keepLines w:val="0"/>
        <w:pageBreakBefore w:val="0"/>
        <w:widowControl w:val="0"/>
        <w:numPr>
          <w:ilvl w:val="0"/>
          <w:numId w:val="4"/>
        </w:numPr>
        <w:tabs>
          <w:tab w:val="left" w:pos="750"/>
          <w:tab w:val="clear" w:pos="1318"/>
        </w:tabs>
        <w:kinsoku/>
        <w:wordWrap/>
        <w:overflowPunct/>
        <w:topLinePunct w:val="0"/>
        <w:autoSpaceDE/>
        <w:autoSpaceDN/>
        <w:bidi w:val="0"/>
        <w:adjustRightInd/>
        <w:snapToGrid/>
        <w:spacing w:line="440" w:lineRule="exact"/>
        <w:ind w:left="750"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工程技术及管理人员数分别为：</w:t>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提供近期年度财务报表一份。</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3、我们保证上述声明是真实的、正确的，并提供了全部能提供的资料和数据，我们同意如贵方要求出示进一步证明文件。</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    位（法人盖章）：</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法人代表（签字）：</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联系电话：                        传   真：</w:t>
      </w: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年      月      日</w:t>
      </w: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ind w:firstLine="31680" w:firstLineChars="140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3、招标文件要求投标人提交的其他投标资料</w: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（本项无表格，需要时由招标人用文字形式提出）</w: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二、投 标 函</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我单位收到贵单位</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招标文件，经详细研究，我们决定参加该项目招标活动并投标。为此，我方郑重声明以下诸点，并负法律责任。</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愿意按照招标文件中的一切要求，提供招标货物、施工等技术服务。</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投标总价为人民币（大写）</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万元。</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我方提供的投标文件，正本一份，副本一份。</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如果我们的投标文件被接受，我们将履行招标文件中规定的每一项要求，按期、按质、按量完成任务。</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我们理解，最低报价不是中标的唯一条件，你们有选择投标者中标的权力。</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我们愿按《中华人民共和国合同法》履行自己的全部责任。</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我方同意按招标文件规定交纳投标保证金，遵守贵机构有关招标的各项规定。</w:t>
      </w:r>
    </w:p>
    <w:p>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所有关于本标书的函电，请按下列地址联系。</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9、本投标有效期为自开标日期起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    位（盖章）：</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法人代表（签字）：</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地    址：                                电   话：         </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    编：                                传   真：</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 户 行：</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帐    号：  </w:t>
      </w:r>
    </w:p>
    <w:p>
      <w:pPr>
        <w:keepNext w:val="0"/>
        <w:keepLines w:val="0"/>
        <w:pageBreakBefore w:val="0"/>
        <w:widowControl w:val="0"/>
        <w:kinsoku/>
        <w:wordWrap/>
        <w:overflowPunct/>
        <w:topLinePunct w:val="0"/>
        <w:autoSpaceDE/>
        <w:autoSpaceDN/>
        <w:bidi w:val="0"/>
        <w:adjustRightInd/>
        <w:snapToGrid/>
        <w:spacing w:line="440" w:lineRule="exact"/>
        <w:ind w:right="0" w:rightChars="0" w:firstLine="560" w:firstLineChars="200"/>
        <w:jc w:val="both"/>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年     月     日</w:t>
      </w: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sz w:val="28"/>
          <w:szCs w:val="28"/>
        </w:rPr>
      </w:pPr>
    </w:p>
    <w:p>
      <w:pPr>
        <w:keepNext w:val="0"/>
        <w:keepLines w:val="0"/>
        <w:pageBreakBefore w:val="0"/>
        <w:widowControl w:val="0"/>
        <w:kinsoku/>
        <w:wordWrap/>
        <w:overflowPunct/>
        <w:topLinePunct w:val="0"/>
        <w:bidi w:val="0"/>
        <w:spacing w:line="440" w:lineRule="exact"/>
        <w:jc w:val="center"/>
        <w:textAlignment w:val="auto"/>
        <w:outlineLvl w:val="9"/>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三、报价表</w:t>
      </w:r>
    </w:p>
    <w:p>
      <w:pPr>
        <w:keepNext w:val="0"/>
        <w:keepLines w:val="0"/>
        <w:pageBreakBefore w:val="0"/>
        <w:widowControl w:val="0"/>
        <w:kinsoku/>
        <w:wordWrap/>
        <w:overflowPunct/>
        <w:topLinePunct w:val="0"/>
        <w:bidi w:val="0"/>
        <w:spacing w:line="440" w:lineRule="exact"/>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single"/>
          <w:lang w:val="zh-CN"/>
        </w:rPr>
        <w:t xml:space="preserve">              </w:t>
      </w:r>
      <w:r>
        <w:rPr>
          <w:rFonts w:hint="eastAsia" w:ascii="仿宋_GB2312" w:hAnsi="仿宋_GB2312" w:eastAsia="仿宋_GB2312" w:cs="仿宋_GB2312"/>
          <w:sz w:val="28"/>
          <w:szCs w:val="28"/>
          <w:lang w:val="zh-CN"/>
        </w:rPr>
        <w:t>项目投标报价明细表</w:t>
      </w:r>
    </w:p>
    <w:p>
      <w:pPr>
        <w:keepNext w:val="0"/>
        <w:keepLines w:val="0"/>
        <w:pageBreakBefore w:val="0"/>
        <w:widowControl w:val="0"/>
        <w:kinsoku/>
        <w:wordWrap/>
        <w:overflowPunct/>
        <w:topLinePunct w:val="0"/>
        <w:autoSpaceDE w:val="0"/>
        <w:autoSpaceDN w:val="0"/>
        <w:bidi w:val="0"/>
        <w:adjustRightInd w:val="0"/>
        <w:spacing w:line="440" w:lineRule="exact"/>
        <w:ind w:firstLine="21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210"/>
        <w:jc w:val="left"/>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zh-CN"/>
        </w:rPr>
        <w:t xml:space="preserve">                                                    单位：元</w:t>
      </w: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详见清单</w:t>
      </w: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投标人：（公章）</w:t>
      </w: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法定代表人或授权委托人：（签字或签章）</w:t>
      </w: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val="0"/>
        <w:autoSpaceDN w:val="0"/>
        <w:bidi w:val="0"/>
        <w:adjustRightInd w:val="0"/>
        <w:spacing w:line="440" w:lineRule="exact"/>
        <w:ind w:firstLine="31680" w:firstLineChars="150"/>
        <w:textAlignment w:val="auto"/>
        <w:outlineLvl w:val="9"/>
        <w:rPr>
          <w:rFonts w:hint="eastAsia" w:ascii="仿宋_GB2312" w:hAnsi="仿宋_GB2312" w:eastAsia="仿宋_GB2312" w:cs="仿宋_GB2312"/>
          <w:sz w:val="28"/>
          <w:szCs w:val="28"/>
        </w:rPr>
      </w:pPr>
    </w:p>
    <w:p>
      <w:pPr>
        <w:keepNext w:val="0"/>
        <w:keepLines w:val="0"/>
        <w:pageBreakBefore w:val="0"/>
        <w:widowControl w:val="0"/>
        <w:numPr>
          <w:ilvl w:val="0"/>
          <w:numId w:val="6"/>
        </w:numPr>
        <w:kinsoku/>
        <w:wordWrap/>
        <w:overflowPunct/>
        <w:topLinePunct w:val="0"/>
        <w:bidi w:val="0"/>
        <w:spacing w:line="440" w:lineRule="exact"/>
        <w:jc w:val="center"/>
        <w:textAlignment w:val="auto"/>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投标方案及投标产品偏差表</w:t>
      </w:r>
    </w:p>
    <w:p>
      <w:pPr>
        <w:keepNext w:val="0"/>
        <w:keepLines w:val="0"/>
        <w:pageBreakBefore w:val="0"/>
        <w:widowControl w:val="0"/>
        <w:numPr>
          <w:ilvl w:val="0"/>
          <w:numId w:val="0"/>
        </w:numPr>
        <w:kinsoku/>
        <w:wordWrap/>
        <w:overflowPunct/>
        <w:topLinePunct w:val="0"/>
        <w:bidi w:val="0"/>
        <w:spacing w:line="440" w:lineRule="exact"/>
        <w:jc w:val="both"/>
        <w:textAlignment w:val="auto"/>
        <w:outlineLvl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lang w:eastAsia="zh-CN"/>
        </w:rPr>
        <w:t>由投标人自行拟定。</w:t>
      </w:r>
    </w:p>
    <w:p>
      <w:pPr>
        <w:keepNext w:val="0"/>
        <w:keepLines w:val="0"/>
        <w:pageBreakBefore w:val="0"/>
        <w:widowControl w:val="0"/>
        <w:kinsoku/>
        <w:wordWrap/>
        <w:overflowPunct/>
        <w:topLinePunct w:val="0"/>
        <w:autoSpaceDE w:val="0"/>
        <w:autoSpaceDN w:val="0"/>
        <w:bidi w:val="0"/>
        <w:adjustRightInd w:val="0"/>
        <w:spacing w:line="440" w:lineRule="exact"/>
        <w:textAlignment w:val="auto"/>
        <w:outlineLvl w:val="9"/>
        <w:rPr>
          <w:rFonts w:hint="eastAsia" w:ascii="仿宋_GB2312" w:hAnsi="仿宋_GB2312" w:eastAsia="仿宋_GB2312" w:cs="仿宋_GB2312"/>
          <w:sz w:val="28"/>
          <w:szCs w:val="28"/>
        </w:rPr>
      </w:pPr>
    </w:p>
    <w:p>
      <w:pPr>
        <w:autoSpaceDE w:val="0"/>
        <w:autoSpaceDN w:val="0"/>
        <w:adjustRightInd w:val="0"/>
        <w:spacing w:line="360" w:lineRule="auto"/>
        <w:rPr>
          <w:rFonts w:hint="eastAsia" w:ascii="仿宋_GB2312" w:hAnsi="仿宋_GB2312" w:eastAsia="仿宋_GB2312" w:cs="仿宋_GB2312"/>
          <w:sz w:val="28"/>
          <w:szCs w:val="28"/>
        </w:rPr>
      </w:pPr>
    </w:p>
    <w:sectPr>
      <w:headerReference r:id="rId3" w:type="default"/>
      <w:footerReference r:id="rId4" w:type="default"/>
      <w:pgSz w:w="11906" w:h="16838"/>
      <w:pgMar w:top="851" w:right="746" w:bottom="312" w:left="1080" w:header="851" w:footer="992" w:gutter="0"/>
      <w:pgNumType w:start="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00007A87" w:usb1="80000000" w:usb2="00000008"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Tahoma">
    <w:panose1 w:val="020B0604030504040204"/>
    <w:charset w:val="00"/>
    <w:family w:val="swiss"/>
    <w:pitch w:val="default"/>
    <w:sig w:usb0="61007A87" w:usb1="80000000" w:usb2="00000008" w:usb3="00000000" w:csb0="200101FF" w:csb1="20280000"/>
  </w:font>
  <w:font w:name="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080F3C52" w:usb2="00000016" w:usb3="00000000" w:csb0="0004001F" w:csb1="00000000"/>
  </w:font>
  <w:font w:name="微软雅黑">
    <w:panose1 w:val="020B0503020204020204"/>
    <w:charset w:val="86"/>
    <w:family w:val="modern"/>
    <w:pitch w:val="default"/>
    <w:sig w:usb0="80000287" w:usb1="0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1"/>
      </w:rPr>
    </w:pPr>
    <w:r>
      <w:rPr>
        <w:rStyle w:val="21"/>
      </w:rPr>
      <w:fldChar w:fldCharType="begin"/>
    </w:r>
    <w:r>
      <w:rPr>
        <w:rStyle w:val="21"/>
      </w:rPr>
      <w:instrText xml:space="preserve">PAGE  </w:instrText>
    </w:r>
    <w:r>
      <w:rPr>
        <w:rStyle w:val="21"/>
      </w:rPr>
      <w:fldChar w:fldCharType="separate"/>
    </w:r>
    <w:r>
      <w:rPr>
        <w:rStyle w:val="21"/>
      </w:rPr>
      <w:t>2</w:t>
    </w:r>
    <w:r>
      <w:rPr>
        <w:rStyle w:val="21"/>
      </w:rPr>
      <w:fldChar w:fldCharType="end"/>
    </w:r>
  </w:p>
  <w:p>
    <w:pPr>
      <w:pStyle w:val="15"/>
    </w:pPr>
    <w:r>
      <w:rPr>
        <w:kern w:val="0"/>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decimal"/>
      <w:lvlText w:val="%1、"/>
      <w:lvlJc w:val="left"/>
      <w:pPr>
        <w:tabs>
          <w:tab w:val="left" w:pos="450"/>
        </w:tabs>
        <w:ind w:left="450" w:hanging="450"/>
      </w:pPr>
    </w:lvl>
  </w:abstractNum>
  <w:abstractNum w:abstractNumId="1">
    <w:nsid w:val="0000000A"/>
    <w:multiLevelType w:val="singleLevel"/>
    <w:tmpl w:val="0000000A"/>
    <w:lvl w:ilvl="0" w:tentative="0">
      <w:start w:val="1"/>
      <w:numFmt w:val="decimal"/>
      <w:lvlText w:val="（%1）"/>
      <w:lvlJc w:val="left"/>
      <w:pPr>
        <w:tabs>
          <w:tab w:val="left" w:pos="1318"/>
        </w:tabs>
        <w:ind w:left="1318" w:hanging="750"/>
      </w:pPr>
    </w:lvl>
  </w:abstractNum>
  <w:abstractNum w:abstractNumId="2">
    <w:nsid w:val="05647898"/>
    <w:multiLevelType w:val="multilevel"/>
    <w:tmpl w:val="05647898"/>
    <w:lvl w:ilvl="0" w:tentative="0">
      <w:start w:val="1"/>
      <w:numFmt w:val="japaneseCounting"/>
      <w:lvlText w:val="第%1章"/>
      <w:lvlJc w:val="left"/>
      <w:pPr>
        <w:tabs>
          <w:tab w:val="left" w:pos="1635"/>
        </w:tabs>
        <w:ind w:left="1635" w:hanging="1635"/>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EDF4454"/>
    <w:multiLevelType w:val="singleLevel"/>
    <w:tmpl w:val="0EDF4454"/>
    <w:lvl w:ilvl="0" w:tentative="0">
      <w:start w:val="1"/>
      <w:numFmt w:val="japaneseCounting"/>
      <w:lvlText w:val="%1、"/>
      <w:lvlJc w:val="left"/>
      <w:pPr>
        <w:tabs>
          <w:tab w:val="left" w:pos="600"/>
        </w:tabs>
        <w:ind w:left="600" w:hanging="600"/>
      </w:pPr>
    </w:lvl>
  </w:abstractNum>
  <w:abstractNum w:abstractNumId="4">
    <w:nsid w:val="5774B319"/>
    <w:multiLevelType w:val="singleLevel"/>
    <w:tmpl w:val="5774B319"/>
    <w:lvl w:ilvl="0" w:tentative="0">
      <w:start w:val="4"/>
      <w:numFmt w:val="chineseCounting"/>
      <w:suff w:val="nothing"/>
      <w:lvlText w:val="%1、"/>
      <w:lvlJc w:val="left"/>
    </w:lvl>
  </w:abstractNum>
  <w:abstractNum w:abstractNumId="5">
    <w:nsid w:val="5776248D"/>
    <w:multiLevelType w:val="singleLevel"/>
    <w:tmpl w:val="5776248D"/>
    <w:lvl w:ilvl="0" w:tentative="0">
      <w:start w:val="2"/>
      <w:numFmt w:val="chineseCounting"/>
      <w:suff w:val="nothing"/>
      <w:lvlText w:val="%1、"/>
      <w:lvlJc w:val="left"/>
    </w:lvl>
  </w:abstractNum>
  <w:num w:numId="1">
    <w:abstractNumId w:val="2"/>
  </w:num>
  <w:num w:numId="2">
    <w:abstractNumId w:val="5"/>
  </w:num>
  <w:num w:numId="3">
    <w:abstractNumId w:val="0"/>
    <w:lvlOverride w:ilvl="0">
      <w:startOverride w:val="1"/>
    </w:lvlOverride>
  </w:num>
  <w:num w:numId="4">
    <w:abstractNumId w:val="1"/>
    <w:lvlOverride w:ilvl="0">
      <w:startOverride w:val="1"/>
    </w:lvlOverride>
  </w:num>
  <w:num w:numId="5">
    <w:abstractNumId w:val="3"/>
    <w:lvlOverride w:ilvl="0">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34BF6"/>
    <w:rsid w:val="000817D2"/>
    <w:rsid w:val="00085E6F"/>
    <w:rsid w:val="000A5CDB"/>
    <w:rsid w:val="000A6027"/>
    <w:rsid w:val="000A688D"/>
    <w:rsid w:val="000A6DD5"/>
    <w:rsid w:val="000E1225"/>
    <w:rsid w:val="000F1DCB"/>
    <w:rsid w:val="00124E71"/>
    <w:rsid w:val="001320F1"/>
    <w:rsid w:val="00171CFA"/>
    <w:rsid w:val="00172A27"/>
    <w:rsid w:val="0018654F"/>
    <w:rsid w:val="001A6AAE"/>
    <w:rsid w:val="001B6E41"/>
    <w:rsid w:val="001C2810"/>
    <w:rsid w:val="001D24DA"/>
    <w:rsid w:val="001F11B0"/>
    <w:rsid w:val="00260692"/>
    <w:rsid w:val="00285EA8"/>
    <w:rsid w:val="002D1203"/>
    <w:rsid w:val="002D683C"/>
    <w:rsid w:val="002E0EA0"/>
    <w:rsid w:val="002F0E86"/>
    <w:rsid w:val="002F246D"/>
    <w:rsid w:val="00306CFC"/>
    <w:rsid w:val="0032535F"/>
    <w:rsid w:val="00326C69"/>
    <w:rsid w:val="0033251B"/>
    <w:rsid w:val="00333C71"/>
    <w:rsid w:val="00382051"/>
    <w:rsid w:val="003A4A3C"/>
    <w:rsid w:val="003A4CE8"/>
    <w:rsid w:val="003C4A80"/>
    <w:rsid w:val="003C5B05"/>
    <w:rsid w:val="003D57B8"/>
    <w:rsid w:val="003E304D"/>
    <w:rsid w:val="004373A6"/>
    <w:rsid w:val="004E1148"/>
    <w:rsid w:val="00527A3F"/>
    <w:rsid w:val="0058391D"/>
    <w:rsid w:val="00597BD2"/>
    <w:rsid w:val="00604F1C"/>
    <w:rsid w:val="00616163"/>
    <w:rsid w:val="00620BD5"/>
    <w:rsid w:val="00623AE7"/>
    <w:rsid w:val="00664661"/>
    <w:rsid w:val="00666A9F"/>
    <w:rsid w:val="006B08BA"/>
    <w:rsid w:val="006C26D8"/>
    <w:rsid w:val="00714313"/>
    <w:rsid w:val="007311F2"/>
    <w:rsid w:val="007356D3"/>
    <w:rsid w:val="00751280"/>
    <w:rsid w:val="00777D4D"/>
    <w:rsid w:val="007B6046"/>
    <w:rsid w:val="007C00C1"/>
    <w:rsid w:val="007F200C"/>
    <w:rsid w:val="00841A50"/>
    <w:rsid w:val="00857DEC"/>
    <w:rsid w:val="008A75BB"/>
    <w:rsid w:val="008C5110"/>
    <w:rsid w:val="008C5AED"/>
    <w:rsid w:val="00925AC4"/>
    <w:rsid w:val="00940337"/>
    <w:rsid w:val="00964195"/>
    <w:rsid w:val="00966043"/>
    <w:rsid w:val="009718EE"/>
    <w:rsid w:val="009A5694"/>
    <w:rsid w:val="009E239B"/>
    <w:rsid w:val="00A17D94"/>
    <w:rsid w:val="00A71752"/>
    <w:rsid w:val="00A81469"/>
    <w:rsid w:val="00A96617"/>
    <w:rsid w:val="00AA3FC3"/>
    <w:rsid w:val="00AA65E5"/>
    <w:rsid w:val="00AB4AF4"/>
    <w:rsid w:val="00AD36F1"/>
    <w:rsid w:val="00B67DC3"/>
    <w:rsid w:val="00B75517"/>
    <w:rsid w:val="00B810B3"/>
    <w:rsid w:val="00B8608E"/>
    <w:rsid w:val="00BA6120"/>
    <w:rsid w:val="00BA6607"/>
    <w:rsid w:val="00BF3925"/>
    <w:rsid w:val="00BF6E32"/>
    <w:rsid w:val="00C431FF"/>
    <w:rsid w:val="00C741F8"/>
    <w:rsid w:val="00C8581C"/>
    <w:rsid w:val="00CB5D1C"/>
    <w:rsid w:val="00CB6E95"/>
    <w:rsid w:val="00D13A15"/>
    <w:rsid w:val="00D2211C"/>
    <w:rsid w:val="00D40805"/>
    <w:rsid w:val="00D42650"/>
    <w:rsid w:val="00D67797"/>
    <w:rsid w:val="00D746FE"/>
    <w:rsid w:val="00D94BF1"/>
    <w:rsid w:val="00DA4F0C"/>
    <w:rsid w:val="00DC51F0"/>
    <w:rsid w:val="00DE082D"/>
    <w:rsid w:val="00DE0D37"/>
    <w:rsid w:val="00E0090D"/>
    <w:rsid w:val="00E3646A"/>
    <w:rsid w:val="00E84905"/>
    <w:rsid w:val="00E9524C"/>
    <w:rsid w:val="00EB7FC7"/>
    <w:rsid w:val="00F002D8"/>
    <w:rsid w:val="00F011A3"/>
    <w:rsid w:val="00F015F1"/>
    <w:rsid w:val="00F7446B"/>
    <w:rsid w:val="00F82B81"/>
    <w:rsid w:val="00FB32BC"/>
    <w:rsid w:val="00FC63C7"/>
    <w:rsid w:val="00FD58D9"/>
    <w:rsid w:val="00FE04E9"/>
    <w:rsid w:val="0F2130DE"/>
    <w:rsid w:val="1030329B"/>
    <w:rsid w:val="10DD46B8"/>
    <w:rsid w:val="124D5018"/>
    <w:rsid w:val="13634A7A"/>
    <w:rsid w:val="18B51996"/>
    <w:rsid w:val="1AD6128D"/>
    <w:rsid w:val="1BE06A4D"/>
    <w:rsid w:val="1DD0094C"/>
    <w:rsid w:val="1EFB5963"/>
    <w:rsid w:val="2200277D"/>
    <w:rsid w:val="240407B3"/>
    <w:rsid w:val="27D320A0"/>
    <w:rsid w:val="29F74A66"/>
    <w:rsid w:val="3196696B"/>
    <w:rsid w:val="334A1B11"/>
    <w:rsid w:val="34796F44"/>
    <w:rsid w:val="34F23B6A"/>
    <w:rsid w:val="38E31861"/>
    <w:rsid w:val="3C60066B"/>
    <w:rsid w:val="3E0F72E0"/>
    <w:rsid w:val="3E9E62CE"/>
    <w:rsid w:val="3F1E715F"/>
    <w:rsid w:val="408A0903"/>
    <w:rsid w:val="40E66A89"/>
    <w:rsid w:val="46FC3E5A"/>
    <w:rsid w:val="4A2B4629"/>
    <w:rsid w:val="4D664345"/>
    <w:rsid w:val="5DF247AE"/>
    <w:rsid w:val="5F966EBF"/>
    <w:rsid w:val="609F62C3"/>
    <w:rsid w:val="60DE0679"/>
    <w:rsid w:val="61967E27"/>
    <w:rsid w:val="6A7C0518"/>
    <w:rsid w:val="6B2B6355"/>
    <w:rsid w:val="6E6F683C"/>
    <w:rsid w:val="6F333FFC"/>
    <w:rsid w:val="765C3ABF"/>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nhideWhenUsed="0"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99" w:semiHidden="0" w:name="Body Text"/>
    <w:lsdException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unhideWhenUsed="0" w:uiPriority="99" w:semiHidden="0" w:name="Body Text 2"/>
    <w:lsdException w:uiPriority="99" w:name="Body Text 3"/>
    <w:lsdException w:unhideWhenUsed="0" w:uiPriority="99" w:semiHidden="0" w:name="Body Text Indent 2"/>
    <w:lsdException w:unhideWhenUsed="0" w:uiPriority="99" w:semiHidden="0"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nhideWhenUsed="0"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99" w:name="Balloon Text"/>
    <w:lsdException w:unhideWhenUsed="0" w:uiPriority="0" w:semiHidden="0" w:name="Table Grid" w:locked="1"/>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99"/>
    <w:pPr>
      <w:keepNext/>
      <w:widowControl/>
      <w:jc w:val="center"/>
      <w:outlineLvl w:val="0"/>
    </w:pPr>
    <w:rPr>
      <w:rFonts w:ascii="黑体" w:eastAsia="黑体" w:cs="黑体"/>
      <w:kern w:val="0"/>
      <w:sz w:val="52"/>
      <w:szCs w:val="52"/>
    </w:rPr>
  </w:style>
  <w:style w:type="paragraph" w:styleId="3">
    <w:name w:val="heading 2"/>
    <w:basedOn w:val="1"/>
    <w:next w:val="1"/>
    <w:link w:val="24"/>
    <w:qFormat/>
    <w:uiPriority w:val="99"/>
    <w:pPr>
      <w:keepNext/>
      <w:keepLines/>
      <w:spacing w:before="260" w:after="260" w:line="416" w:lineRule="auto"/>
      <w:outlineLvl w:val="1"/>
    </w:pPr>
    <w:rPr>
      <w:rFonts w:ascii="Arial" w:hAnsi="Arial" w:eastAsia="黑体" w:cs="Arial"/>
      <w:b/>
      <w:bCs/>
      <w:sz w:val="32"/>
      <w:szCs w:val="32"/>
    </w:rPr>
  </w:style>
  <w:style w:type="paragraph" w:styleId="4">
    <w:name w:val="heading 5"/>
    <w:basedOn w:val="1"/>
    <w:next w:val="1"/>
    <w:link w:val="25"/>
    <w:qFormat/>
    <w:uiPriority w:val="99"/>
    <w:pPr>
      <w:keepNext/>
      <w:keepLines/>
      <w:widowControl/>
      <w:spacing w:before="120" w:after="120" w:line="360" w:lineRule="auto"/>
      <w:ind w:firstLine="499"/>
      <w:jc w:val="left"/>
      <w:outlineLvl w:val="4"/>
    </w:pPr>
    <w:rPr>
      <w:rFonts w:ascii="宋体" w:hAnsi="宋体" w:cs="宋体"/>
      <w:b/>
      <w:bCs/>
      <w:kern w:val="0"/>
      <w:sz w:val="24"/>
      <w:szCs w:val="24"/>
    </w:rPr>
  </w:style>
  <w:style w:type="character" w:default="1" w:styleId="20">
    <w:name w:val="Default Paragraph Font"/>
    <w:semiHidden/>
    <w:uiPriority w:val="99"/>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99"/>
    <w:pPr>
      <w:ind w:firstLine="420"/>
    </w:pPr>
  </w:style>
  <w:style w:type="paragraph" w:styleId="6">
    <w:name w:val="Document Map"/>
    <w:basedOn w:val="1"/>
    <w:link w:val="41"/>
    <w:semiHidden/>
    <w:qFormat/>
    <w:uiPriority w:val="99"/>
    <w:pPr>
      <w:shd w:val="clear" w:color="auto" w:fill="000080"/>
    </w:pPr>
  </w:style>
  <w:style w:type="paragraph" w:styleId="7">
    <w:name w:val="annotation text"/>
    <w:basedOn w:val="1"/>
    <w:link w:val="40"/>
    <w:semiHidden/>
    <w:uiPriority w:val="99"/>
    <w:pPr>
      <w:adjustRightInd w:val="0"/>
      <w:spacing w:line="360" w:lineRule="atLeast"/>
      <w:jc w:val="left"/>
      <w:textAlignment w:val="baseline"/>
    </w:pPr>
    <w:rPr>
      <w:kern w:val="0"/>
      <w:sz w:val="24"/>
      <w:szCs w:val="24"/>
    </w:rPr>
  </w:style>
  <w:style w:type="paragraph" w:styleId="8">
    <w:name w:val="Body Text"/>
    <w:basedOn w:val="1"/>
    <w:link w:val="39"/>
    <w:qFormat/>
    <w:uiPriority w:val="99"/>
    <w:pPr>
      <w:tabs>
        <w:tab w:val="left" w:pos="3420"/>
      </w:tabs>
      <w:autoSpaceDE w:val="0"/>
      <w:autoSpaceDN w:val="0"/>
      <w:adjustRightInd w:val="0"/>
      <w:jc w:val="center"/>
    </w:pPr>
    <w:rPr>
      <w:rFonts w:ascii="黑体" w:eastAsia="黑体" w:cs="黑体"/>
      <w:b/>
      <w:bCs/>
      <w:color w:val="000000"/>
      <w:sz w:val="84"/>
      <w:szCs w:val="84"/>
      <w:lang w:val="zh-CN"/>
    </w:rPr>
  </w:style>
  <w:style w:type="paragraph" w:styleId="9">
    <w:name w:val="Body Text Indent"/>
    <w:basedOn w:val="1"/>
    <w:link w:val="37"/>
    <w:uiPriority w:val="99"/>
    <w:pPr>
      <w:ind w:firstLine="560" w:firstLineChars="200"/>
    </w:pPr>
    <w:rPr>
      <w:sz w:val="28"/>
      <w:szCs w:val="28"/>
    </w:rPr>
  </w:style>
  <w:style w:type="paragraph" w:styleId="10">
    <w:name w:val="List 2"/>
    <w:basedOn w:val="1"/>
    <w:uiPriority w:val="99"/>
    <w:pPr>
      <w:ind w:left="100" w:leftChars="200" w:hanging="200" w:hangingChars="200"/>
    </w:pPr>
  </w:style>
  <w:style w:type="paragraph" w:styleId="11">
    <w:name w:val="Plain Text"/>
    <w:basedOn w:val="1"/>
    <w:link w:val="45"/>
    <w:uiPriority w:val="99"/>
    <w:rPr>
      <w:rFonts w:ascii="宋体" w:hAnsi="Courier New" w:cs="宋体"/>
    </w:rPr>
  </w:style>
  <w:style w:type="paragraph" w:styleId="12">
    <w:name w:val="Date"/>
    <w:basedOn w:val="1"/>
    <w:next w:val="1"/>
    <w:link w:val="43"/>
    <w:uiPriority w:val="99"/>
    <w:pPr>
      <w:ind w:left="100" w:leftChars="2500"/>
    </w:pPr>
    <w:rPr>
      <w:rFonts w:ascii="宋体" w:hAnsi="宋体" w:cs="宋体"/>
      <w:sz w:val="28"/>
      <w:szCs w:val="28"/>
    </w:rPr>
  </w:style>
  <w:style w:type="paragraph" w:styleId="13">
    <w:name w:val="Body Text Indent 2"/>
    <w:basedOn w:val="1"/>
    <w:link w:val="44"/>
    <w:uiPriority w:val="99"/>
    <w:pPr>
      <w:ind w:left="552" w:leftChars="263"/>
    </w:pPr>
    <w:rPr>
      <w:rFonts w:eastAsia="仿宋_GB2312"/>
      <w:sz w:val="28"/>
      <w:szCs w:val="28"/>
    </w:rPr>
  </w:style>
  <w:style w:type="paragraph" w:styleId="14">
    <w:name w:val="Balloon Text"/>
    <w:basedOn w:val="1"/>
    <w:link w:val="38"/>
    <w:semiHidden/>
    <w:uiPriority w:val="99"/>
    <w:rPr>
      <w:sz w:val="18"/>
      <w:szCs w:val="18"/>
    </w:rPr>
  </w:style>
  <w:style w:type="paragraph" w:styleId="15">
    <w:name w:val="footer"/>
    <w:basedOn w:val="1"/>
    <w:link w:val="46"/>
    <w:uiPriority w:val="99"/>
    <w:pPr>
      <w:tabs>
        <w:tab w:val="center" w:pos="4153"/>
        <w:tab w:val="right" w:pos="8306"/>
      </w:tabs>
      <w:snapToGrid w:val="0"/>
      <w:jc w:val="left"/>
    </w:pPr>
    <w:rPr>
      <w:sz w:val="18"/>
      <w:szCs w:val="18"/>
    </w:rPr>
  </w:style>
  <w:style w:type="paragraph" w:styleId="16">
    <w:name w:val="header"/>
    <w:basedOn w:val="1"/>
    <w:link w:val="42"/>
    <w:uiPriority w:val="99"/>
    <w:pPr>
      <w:pBdr>
        <w:bottom w:val="single" w:color="auto" w:sz="6" w:space="1"/>
      </w:pBdr>
      <w:tabs>
        <w:tab w:val="center" w:pos="4153"/>
        <w:tab w:val="right" w:pos="8306"/>
      </w:tabs>
      <w:snapToGrid w:val="0"/>
      <w:jc w:val="center"/>
    </w:pPr>
    <w:rPr>
      <w:sz w:val="18"/>
      <w:szCs w:val="18"/>
    </w:rPr>
  </w:style>
  <w:style w:type="paragraph" w:styleId="17">
    <w:name w:val="Body Text Indent 3"/>
    <w:basedOn w:val="1"/>
    <w:link w:val="47"/>
    <w:uiPriority w:val="99"/>
    <w:pPr>
      <w:spacing w:after="120"/>
      <w:ind w:left="420" w:leftChars="200"/>
    </w:pPr>
    <w:rPr>
      <w:sz w:val="16"/>
      <w:szCs w:val="16"/>
    </w:rPr>
  </w:style>
  <w:style w:type="paragraph" w:styleId="18">
    <w:name w:val="Body Text 2"/>
    <w:basedOn w:val="1"/>
    <w:link w:val="48"/>
    <w:uiPriority w:val="99"/>
    <w:pPr>
      <w:spacing w:after="120" w:line="480" w:lineRule="auto"/>
    </w:pPr>
  </w:style>
  <w:style w:type="paragraph" w:styleId="19">
    <w:name w:val="Normal (Web)"/>
    <w:basedOn w:val="1"/>
    <w:uiPriority w:val="99"/>
    <w:pPr>
      <w:widowControl/>
      <w:spacing w:before="100" w:beforeAutospacing="1" w:after="100" w:afterAutospacing="1"/>
      <w:jc w:val="left"/>
    </w:pPr>
    <w:rPr>
      <w:rFonts w:ascii="宋体" w:hAnsi="宋体" w:cs="宋体"/>
      <w:kern w:val="0"/>
      <w:sz w:val="24"/>
      <w:szCs w:val="24"/>
    </w:rPr>
  </w:style>
  <w:style w:type="character" w:styleId="21">
    <w:name w:val="page number"/>
    <w:basedOn w:val="20"/>
    <w:uiPriority w:val="99"/>
  </w:style>
  <w:style w:type="character" w:customStyle="1" w:styleId="23">
    <w:name w:val="Heading 1 Char"/>
    <w:basedOn w:val="20"/>
    <w:link w:val="2"/>
    <w:qFormat/>
    <w:locked/>
    <w:uiPriority w:val="99"/>
    <w:rPr>
      <w:rFonts w:ascii="黑体" w:eastAsia="黑体" w:cs="黑体"/>
      <w:sz w:val="52"/>
      <w:szCs w:val="52"/>
      <w:lang w:val="en-US" w:eastAsia="zh-CN"/>
    </w:rPr>
  </w:style>
  <w:style w:type="character" w:customStyle="1" w:styleId="24">
    <w:name w:val="Heading 2 Char"/>
    <w:basedOn w:val="20"/>
    <w:link w:val="3"/>
    <w:semiHidden/>
    <w:qFormat/>
    <w:locked/>
    <w:uiPriority w:val="99"/>
    <w:rPr>
      <w:rFonts w:ascii="Arial" w:hAnsi="Arial" w:eastAsia="黑体" w:cs="Arial"/>
      <w:b/>
      <w:bCs/>
      <w:kern w:val="2"/>
      <w:sz w:val="32"/>
      <w:szCs w:val="32"/>
      <w:lang w:val="en-US" w:eastAsia="zh-CN"/>
    </w:rPr>
  </w:style>
  <w:style w:type="character" w:customStyle="1" w:styleId="25">
    <w:name w:val="Heading 5 Char"/>
    <w:basedOn w:val="20"/>
    <w:link w:val="4"/>
    <w:semiHidden/>
    <w:qFormat/>
    <w:locked/>
    <w:uiPriority w:val="99"/>
    <w:rPr>
      <w:rFonts w:ascii="宋体" w:hAnsi="宋体" w:eastAsia="宋体" w:cs="宋体"/>
      <w:b/>
      <w:bCs/>
      <w:sz w:val="24"/>
      <w:szCs w:val="24"/>
      <w:lang w:val="en-US" w:eastAsia="zh-CN"/>
    </w:rPr>
  </w:style>
  <w:style w:type="character" w:customStyle="1" w:styleId="26">
    <w:name w:val="Body Text Indent 2 Char"/>
    <w:basedOn w:val="20"/>
    <w:link w:val="13"/>
    <w:semiHidden/>
    <w:locked/>
    <w:uiPriority w:val="99"/>
    <w:rPr>
      <w:rFonts w:eastAsia="仿宋_GB2312"/>
      <w:kern w:val="2"/>
      <w:sz w:val="24"/>
      <w:szCs w:val="24"/>
      <w:lang w:val="en-US" w:eastAsia="zh-CN"/>
    </w:rPr>
  </w:style>
  <w:style w:type="character" w:customStyle="1" w:styleId="27">
    <w:name w:val="Date Char"/>
    <w:basedOn w:val="20"/>
    <w:link w:val="12"/>
    <w:semiHidden/>
    <w:locked/>
    <w:uiPriority w:val="99"/>
    <w:rPr>
      <w:rFonts w:ascii="宋体" w:hAnsi="宋体" w:eastAsia="宋体" w:cs="宋体"/>
      <w:kern w:val="2"/>
      <w:sz w:val="24"/>
      <w:szCs w:val="24"/>
      <w:lang w:val="en-US" w:eastAsia="zh-CN"/>
    </w:rPr>
  </w:style>
  <w:style w:type="character" w:customStyle="1" w:styleId="28">
    <w:name w:val="Header Char"/>
    <w:basedOn w:val="20"/>
    <w:link w:val="16"/>
    <w:semiHidden/>
    <w:locked/>
    <w:uiPriority w:val="99"/>
    <w:rPr>
      <w:rFonts w:eastAsia="宋体"/>
      <w:kern w:val="2"/>
      <w:sz w:val="18"/>
      <w:szCs w:val="18"/>
      <w:lang w:val="en-US" w:eastAsia="zh-CN"/>
    </w:rPr>
  </w:style>
  <w:style w:type="character" w:customStyle="1" w:styleId="29">
    <w:name w:val="Body Text Char"/>
    <w:basedOn w:val="20"/>
    <w:link w:val="8"/>
    <w:semiHidden/>
    <w:locked/>
    <w:uiPriority w:val="99"/>
    <w:rPr>
      <w:rFonts w:ascii="黑体" w:eastAsia="黑体" w:cs="黑体"/>
      <w:b/>
      <w:bCs/>
      <w:color w:val="000000"/>
      <w:kern w:val="2"/>
      <w:sz w:val="84"/>
      <w:szCs w:val="84"/>
      <w:lang w:val="zh-CN" w:eastAsia="zh-CN"/>
    </w:rPr>
  </w:style>
  <w:style w:type="character" w:customStyle="1" w:styleId="30">
    <w:name w:val="纯文本 Char1"/>
    <w:basedOn w:val="20"/>
    <w:uiPriority w:val="99"/>
    <w:rPr>
      <w:rFonts w:ascii="宋体" w:hAnsi="Courier New" w:eastAsia="宋体" w:cs="宋体"/>
      <w:kern w:val="2"/>
      <w:sz w:val="21"/>
      <w:szCs w:val="21"/>
      <w:lang w:val="en-US" w:eastAsia="zh-CN"/>
    </w:rPr>
  </w:style>
  <w:style w:type="character" w:customStyle="1" w:styleId="31">
    <w:name w:val="Body Text Indent Char"/>
    <w:basedOn w:val="20"/>
    <w:link w:val="9"/>
    <w:semiHidden/>
    <w:locked/>
    <w:uiPriority w:val="99"/>
    <w:rPr>
      <w:rFonts w:eastAsia="宋体"/>
      <w:kern w:val="2"/>
      <w:sz w:val="24"/>
      <w:szCs w:val="24"/>
      <w:lang w:val="en-US" w:eastAsia="zh-CN"/>
    </w:rPr>
  </w:style>
  <w:style w:type="character" w:customStyle="1" w:styleId="32">
    <w:name w:val="Footer Char"/>
    <w:basedOn w:val="20"/>
    <w:link w:val="15"/>
    <w:semiHidden/>
    <w:locked/>
    <w:uiPriority w:val="99"/>
    <w:rPr>
      <w:rFonts w:eastAsia="宋体"/>
      <w:kern w:val="2"/>
      <w:sz w:val="18"/>
      <w:szCs w:val="18"/>
      <w:lang w:val="en-US" w:eastAsia="zh-CN"/>
    </w:rPr>
  </w:style>
  <w:style w:type="character" w:customStyle="1" w:styleId="33">
    <w:name w:val="Body Text 2 Char"/>
    <w:basedOn w:val="20"/>
    <w:link w:val="18"/>
    <w:locked/>
    <w:uiPriority w:val="99"/>
    <w:rPr>
      <w:kern w:val="2"/>
      <w:sz w:val="24"/>
      <w:szCs w:val="24"/>
    </w:rPr>
  </w:style>
  <w:style w:type="character" w:customStyle="1" w:styleId="34">
    <w:name w:val="Body Text Indent 3 Char"/>
    <w:basedOn w:val="20"/>
    <w:link w:val="17"/>
    <w:semiHidden/>
    <w:locked/>
    <w:uiPriority w:val="99"/>
    <w:rPr>
      <w:rFonts w:eastAsia="宋体"/>
      <w:kern w:val="2"/>
      <w:sz w:val="16"/>
      <w:szCs w:val="16"/>
      <w:lang w:val="en-US" w:eastAsia="zh-CN"/>
    </w:rPr>
  </w:style>
  <w:style w:type="character" w:customStyle="1" w:styleId="35">
    <w:name w:val="Comment Text Char"/>
    <w:basedOn w:val="20"/>
    <w:link w:val="7"/>
    <w:semiHidden/>
    <w:locked/>
    <w:uiPriority w:val="99"/>
    <w:rPr>
      <w:rFonts w:eastAsia="宋体"/>
      <w:sz w:val="24"/>
      <w:szCs w:val="24"/>
      <w:lang w:val="en-US" w:eastAsia="zh-CN"/>
    </w:rPr>
  </w:style>
  <w:style w:type="character" w:customStyle="1" w:styleId="36">
    <w:name w:val="Plain Text Char"/>
    <w:basedOn w:val="20"/>
    <w:link w:val="11"/>
    <w:locked/>
    <w:uiPriority w:val="99"/>
    <w:rPr>
      <w:rFonts w:ascii="宋体" w:hAnsi="Courier New" w:eastAsia="宋体" w:cs="宋体"/>
      <w:kern w:val="2"/>
      <w:sz w:val="21"/>
      <w:szCs w:val="21"/>
      <w:lang w:val="en-US" w:eastAsia="zh-CN"/>
    </w:rPr>
  </w:style>
  <w:style w:type="character" w:customStyle="1" w:styleId="37">
    <w:name w:val="Body Text Indent Char1"/>
    <w:basedOn w:val="20"/>
    <w:link w:val="9"/>
    <w:semiHidden/>
    <w:uiPriority w:val="99"/>
    <w:rPr>
      <w:szCs w:val="21"/>
    </w:rPr>
  </w:style>
  <w:style w:type="character" w:customStyle="1" w:styleId="38">
    <w:name w:val="Balloon Text Char"/>
    <w:basedOn w:val="20"/>
    <w:link w:val="14"/>
    <w:semiHidden/>
    <w:uiPriority w:val="99"/>
    <w:rPr>
      <w:sz w:val="0"/>
      <w:szCs w:val="0"/>
    </w:rPr>
  </w:style>
  <w:style w:type="character" w:customStyle="1" w:styleId="39">
    <w:name w:val="Body Text Char1"/>
    <w:basedOn w:val="20"/>
    <w:link w:val="8"/>
    <w:semiHidden/>
    <w:uiPriority w:val="99"/>
    <w:rPr>
      <w:szCs w:val="21"/>
    </w:rPr>
  </w:style>
  <w:style w:type="character" w:customStyle="1" w:styleId="40">
    <w:name w:val="Comment Text Char1"/>
    <w:basedOn w:val="20"/>
    <w:link w:val="7"/>
    <w:semiHidden/>
    <w:uiPriority w:val="99"/>
    <w:rPr>
      <w:szCs w:val="21"/>
    </w:rPr>
  </w:style>
  <w:style w:type="character" w:customStyle="1" w:styleId="41">
    <w:name w:val="Document Map Char"/>
    <w:basedOn w:val="20"/>
    <w:link w:val="6"/>
    <w:semiHidden/>
    <w:uiPriority w:val="99"/>
    <w:rPr>
      <w:sz w:val="0"/>
      <w:szCs w:val="0"/>
    </w:rPr>
  </w:style>
  <w:style w:type="character" w:customStyle="1" w:styleId="42">
    <w:name w:val="Header Char1"/>
    <w:basedOn w:val="20"/>
    <w:link w:val="16"/>
    <w:semiHidden/>
    <w:uiPriority w:val="99"/>
    <w:rPr>
      <w:sz w:val="18"/>
      <w:szCs w:val="18"/>
    </w:rPr>
  </w:style>
  <w:style w:type="character" w:customStyle="1" w:styleId="43">
    <w:name w:val="Date Char1"/>
    <w:basedOn w:val="20"/>
    <w:link w:val="12"/>
    <w:semiHidden/>
    <w:uiPriority w:val="99"/>
    <w:rPr>
      <w:szCs w:val="21"/>
    </w:rPr>
  </w:style>
  <w:style w:type="character" w:customStyle="1" w:styleId="44">
    <w:name w:val="Body Text Indent 2 Char1"/>
    <w:basedOn w:val="20"/>
    <w:link w:val="13"/>
    <w:semiHidden/>
    <w:uiPriority w:val="99"/>
    <w:rPr>
      <w:szCs w:val="21"/>
    </w:rPr>
  </w:style>
  <w:style w:type="character" w:customStyle="1" w:styleId="45">
    <w:name w:val="Plain Text Char1"/>
    <w:basedOn w:val="20"/>
    <w:link w:val="11"/>
    <w:semiHidden/>
    <w:uiPriority w:val="99"/>
    <w:rPr>
      <w:rFonts w:ascii="宋体" w:hAnsi="Courier New" w:cs="Courier New"/>
      <w:szCs w:val="21"/>
    </w:rPr>
  </w:style>
  <w:style w:type="character" w:customStyle="1" w:styleId="46">
    <w:name w:val="Footer Char1"/>
    <w:basedOn w:val="20"/>
    <w:link w:val="15"/>
    <w:semiHidden/>
    <w:uiPriority w:val="99"/>
    <w:rPr>
      <w:sz w:val="18"/>
      <w:szCs w:val="18"/>
    </w:rPr>
  </w:style>
  <w:style w:type="character" w:customStyle="1" w:styleId="47">
    <w:name w:val="Body Text Indent 3 Char1"/>
    <w:basedOn w:val="20"/>
    <w:link w:val="17"/>
    <w:semiHidden/>
    <w:uiPriority w:val="99"/>
    <w:rPr>
      <w:sz w:val="16"/>
      <w:szCs w:val="16"/>
    </w:rPr>
  </w:style>
  <w:style w:type="character" w:customStyle="1" w:styleId="48">
    <w:name w:val="Body Text 2 Char1"/>
    <w:basedOn w:val="20"/>
    <w:link w:val="18"/>
    <w:semiHidden/>
    <w:uiPriority w:val="99"/>
    <w:rPr>
      <w:szCs w:val="21"/>
    </w:rPr>
  </w:style>
  <w:style w:type="paragraph" w:customStyle="1" w:styleId="49">
    <w:name w:val="List Paragraph"/>
    <w:basedOn w:val="1"/>
    <w:qFormat/>
    <w:uiPriority w:val="99"/>
    <w:pPr>
      <w:ind w:firstLine="420" w:firstLineChars="200"/>
    </w:pPr>
    <w:rPr>
      <w:rFonts w:ascii="Calibri" w:hAnsi="Calibri" w:cs="Calibri"/>
    </w:rPr>
  </w:style>
  <w:style w:type="paragraph" w:customStyle="1" w:styleId="50">
    <w:name w:val="xl2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1">
    <w:name w:val="Preformatted"/>
    <w:basedOn w:val="1"/>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ourier New"/>
      <w:kern w:val="0"/>
      <w:sz w:val="20"/>
      <w:szCs w:val="20"/>
    </w:rPr>
  </w:style>
  <w:style w:type="paragraph" w:customStyle="1" w:styleId="52">
    <w:name w:val="Char"/>
    <w:basedOn w:val="1"/>
    <w:uiPriority w:val="99"/>
  </w:style>
  <w:style w:type="paragraph" w:customStyle="1" w:styleId="53">
    <w:name w:val="_Style 15"/>
    <w:basedOn w:val="1"/>
    <w:next w:val="19"/>
    <w:uiPriority w:val="99"/>
    <w:pPr>
      <w:widowControl/>
      <w:spacing w:before="100" w:beforeAutospacing="1" w:after="100" w:afterAutospacing="1"/>
      <w:jc w:val="left"/>
    </w:pPr>
    <w:rPr>
      <w:rFonts w:ascii="宋体" w:hAnsi="宋体" w:cs="宋体"/>
      <w:kern w:val="0"/>
      <w:sz w:val="24"/>
      <w:szCs w:val="24"/>
    </w:rPr>
  </w:style>
  <w:style w:type="paragraph" w:customStyle="1" w:styleId="54">
    <w:name w:val="Char Char4 Char"/>
    <w:basedOn w:val="1"/>
    <w:uiPriority w:val="99"/>
    <w:pPr>
      <w:spacing w:line="360" w:lineRule="auto"/>
      <w:ind w:firstLine="200" w:firstLineChars="200"/>
    </w:pPr>
    <w:rPr>
      <w:rFonts w:ascii="宋体" w:hAnsi="宋体" w:cs="宋体"/>
      <w:sz w:val="24"/>
      <w:szCs w:val="24"/>
    </w:rPr>
  </w:style>
  <w:style w:type="paragraph" w:customStyle="1" w:styleId="55">
    <w:name w:val="xl27"/>
    <w:basedOn w:val="1"/>
    <w:uiPriority w:val="99"/>
    <w:pPr>
      <w:widowControl/>
      <w:spacing w:before="100" w:beforeAutospacing="1" w:after="100" w:afterAutospacing="1"/>
      <w:jc w:val="center"/>
    </w:pPr>
    <w:rPr>
      <w:rFonts w:ascii="宋体" w:hAnsi="宋体" w:cs="宋体"/>
      <w:kern w:val="0"/>
      <w:sz w:val="36"/>
      <w:szCs w:val="36"/>
    </w:rPr>
  </w:style>
  <w:style w:type="paragraph" w:customStyle="1" w:styleId="56">
    <w:name w:val="Char Char Char Char"/>
    <w:basedOn w:val="1"/>
    <w:uiPriority w:val="99"/>
  </w:style>
  <w:style w:type="paragraph" w:customStyle="1" w:styleId="57">
    <w:name w:val="Char1"/>
    <w:basedOn w:val="1"/>
    <w:uiPriority w:val="99"/>
    <w:rPr>
      <w:rFonts w:ascii="Tahoma" w:hAnsi="Tahoma" w:cs="Tahoma"/>
      <w:sz w:val="24"/>
      <w:szCs w:val="24"/>
    </w:rPr>
  </w:style>
  <w:style w:type="paragraph" w:customStyle="1" w:styleId="58">
    <w:name w:val="Char Char Char Char Char Char Char"/>
    <w:basedOn w:val="1"/>
    <w:uiPriority w:val="99"/>
    <w:rPr>
      <w:rFonts w:ascii="宋体" w:hAnsi="宋体" w:cs="宋体"/>
      <w:sz w:val="24"/>
      <w:szCs w:val="24"/>
    </w:rPr>
  </w:style>
  <w:style w:type="paragraph" w:customStyle="1" w:styleId="59">
    <w:name w:val="Blockquote"/>
    <w:basedOn w:val="1"/>
    <w:uiPriority w:val="99"/>
    <w:pPr>
      <w:autoSpaceDE w:val="0"/>
      <w:autoSpaceDN w:val="0"/>
      <w:adjustRightInd w:val="0"/>
      <w:spacing w:before="100" w:after="100"/>
      <w:ind w:left="360" w:right="360"/>
      <w:jc w:val="left"/>
    </w:pPr>
    <w:rPr>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 China</Company>
  <Pages>13</Pages>
  <Words>882</Words>
  <Characters>5034</Characters>
  <Lines>0</Lines>
  <Paragraphs>0</Paragraphs>
  <ScaleCrop>false</ScaleCrop>
  <LinksUpToDate>false</LinksUpToDate>
  <CharactersWithSpaces>0</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2016-06-02T02:57:00Z</dcterms:created>
  <dc:creator>user</dc:creator>
  <cp:lastModifiedBy>Administrator</cp:lastModifiedBy>
  <cp:lastPrinted>2013-10-08T02:34:00Z</cp:lastPrinted>
  <dcterms:modified xsi:type="dcterms:W3CDTF">2016-07-01T08:08:45Z</dcterms:modified>
  <dc:title>招标文件</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